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СВОД ПРАВИЛ</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ЕСТЕСТВЕННОЕ И ИСКУССТВЕННОЕ ОСВЕЩЕНИЕ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val="en-US" w:eastAsia="ru-RU"/>
        </w:rPr>
      </w:pPr>
      <w:r w:rsidRPr="003C0CFF">
        <w:rPr>
          <w:rFonts w:eastAsia="Times New Roman" w:cstheme="minorHAnsi"/>
          <w:b/>
          <w:bCs/>
          <w:color w:val="000000" w:themeColor="text1"/>
          <w:sz w:val="24"/>
          <w:szCs w:val="24"/>
          <w:lang w:eastAsia="ru-RU"/>
        </w:rPr>
        <w:t>АКТУАЛИЗИРОВАННАЯ</w:t>
      </w:r>
      <w:r w:rsidRPr="003C0CFF">
        <w:rPr>
          <w:rFonts w:eastAsia="Times New Roman" w:cstheme="minorHAnsi"/>
          <w:b/>
          <w:bCs/>
          <w:color w:val="000000" w:themeColor="text1"/>
          <w:sz w:val="24"/>
          <w:szCs w:val="24"/>
          <w:lang w:val="en-US" w:eastAsia="ru-RU"/>
        </w:rPr>
        <w:t xml:space="preserve"> </w:t>
      </w:r>
      <w:r w:rsidRPr="003C0CFF">
        <w:rPr>
          <w:rFonts w:eastAsia="Times New Roman" w:cstheme="minorHAnsi"/>
          <w:b/>
          <w:bCs/>
          <w:color w:val="000000" w:themeColor="text1"/>
          <w:sz w:val="24"/>
          <w:szCs w:val="24"/>
          <w:lang w:eastAsia="ru-RU"/>
        </w:rPr>
        <w:t>РЕДАКЦИЯ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val="en-US" w:eastAsia="ru-RU"/>
        </w:rPr>
      </w:pPr>
      <w:r w:rsidRPr="003C0CFF">
        <w:rPr>
          <w:rFonts w:eastAsia="Times New Roman" w:cstheme="minorHAnsi"/>
          <w:b/>
          <w:bCs/>
          <w:color w:val="000000" w:themeColor="text1"/>
          <w:sz w:val="24"/>
          <w:szCs w:val="24"/>
          <w:lang w:eastAsia="ru-RU"/>
        </w:rPr>
        <w:t>СНиП</w:t>
      </w:r>
      <w:r w:rsidRPr="003C0CFF">
        <w:rPr>
          <w:rFonts w:eastAsia="Times New Roman" w:cstheme="minorHAnsi"/>
          <w:b/>
          <w:bCs/>
          <w:color w:val="000000" w:themeColor="text1"/>
          <w:sz w:val="24"/>
          <w:szCs w:val="24"/>
          <w:lang w:val="en-US" w:eastAsia="ru-RU"/>
        </w:rPr>
        <w:t> 23-05-95*</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val="en-US" w:eastAsia="ru-RU"/>
        </w:rPr>
      </w:pPr>
      <w:r w:rsidRPr="003C0CFF">
        <w:rPr>
          <w:rFonts w:eastAsia="Times New Roman" w:cstheme="minorHAnsi"/>
          <w:b/>
          <w:bCs/>
          <w:color w:val="000000" w:themeColor="text1"/>
          <w:sz w:val="24"/>
          <w:szCs w:val="24"/>
          <w:lang w:val="en-US" w:eastAsia="ru-RU"/>
        </w:rPr>
        <w:t>Daylighting and artificial lighting</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СП 52.13330.2016</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СВЕДЕНИЯ О СВОДЕ ПРАВИЛ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ИСПОЛНИТЕЛИ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и Общество с ограниченной ответственностью "ЦЕРЕРА-ЭКСПЕРТ" (ООО "ЦЕРЕРА-ЭКСПЕРТ").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ВНЕСЕН Техническим комитетом по стандартизации ТК 465 "Строительство".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УТВЕРЖДЕН приказом Министерства строительства и жилищно-коммунального хозяйства Российской Федерации от 7 ноября 2016 г. N 777/пр и введен в действие с 8 мая 2017 г.</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ЗАРЕГИСТРИРОВАН Федеральным агентством по техническому регулированию и метрологии (Росстандарт). Пересмотр СП 52.13330.2011 "СНиП 23-05-95* Естественное и искусственное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ВВЕДЕНИЕ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настоящем своде правил приведены требования, соответствующие целям Федерального закона от 30 декабря 2009 г. N 384-ФЗ "Технический регламент о безопасности зданий и сооружений" и подлежащие обязательному соблюдению с учетом части 1 статьи 46 Федерального закона от 27 декабря 2002 г. N 184-ФЗ "О техническом регулировании",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Свод правил устанавливает нормы естественного, искусственного и совмещенного освещения зданий и сооружений, а также нормы искусственного освещения селитебных территорий, площадок предприятий и мест производства работ вне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xml:space="preserve">Актуализация выполнена авторским коллективом: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(канд. техн. наук И.А. Шмаров, канд. техн. наук В.А. Земцов, инж. В.В. Земцов, инж. Л.В. Бражникова, канд. техн. наук Е.В. Коркина); ООО "ЦЕРЕРА-ЭКСПЕРТ" (инж. Е.А. Литвинская) при участии ООО "Всероссийский научно-исследовательский, проектно-конструкторский светотехнический институт им. С.И. Вавилова" (инж. А.Ш. Черняк, канд. техн. наук А.А. Коробко); Российская медицинская академия последипломного образования Минздрава России (д-р мед. наук Т.Е. Бобкова); Федеральное государственное автономное учреждение "Научный центр здоровья детей" Минздрава России (канд. биол. наук Л.М. Текшева); </w:t>
      </w:r>
      <w:r w:rsidRPr="003C0CFF">
        <w:rPr>
          <w:rFonts w:eastAsia="Times New Roman" w:cstheme="minorHAnsi"/>
          <w:color w:val="000000" w:themeColor="text1"/>
          <w:sz w:val="24"/>
          <w:szCs w:val="24"/>
          <w:lang w:eastAsia="ru-RU"/>
        </w:rPr>
        <w:lastRenderedPageBreak/>
        <w:t>Программа развития ООН (инж. А.С. Шевченко), ЗАО "Светлана-Оптоэлектроника" (канд. техн. наук А.А. Богданов) ОАО НИПИ "ТЯЖПРОМ-ЭЛЕКТРОПРО</w:t>
      </w:r>
      <w:bookmarkStart w:id="0" w:name="_GoBack"/>
      <w:bookmarkEnd w:id="0"/>
      <w:r w:rsidRPr="003C0CFF">
        <w:rPr>
          <w:rFonts w:eastAsia="Times New Roman" w:cstheme="minorHAnsi"/>
          <w:color w:val="000000" w:themeColor="text1"/>
          <w:sz w:val="24"/>
          <w:szCs w:val="24"/>
          <w:lang w:eastAsia="ru-RU"/>
        </w:rPr>
        <w:t>ЕКТ" (инж. З.К. Гобачева).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Изменение N 1 к СП 52.13330.2016 разработано авторским коллективом: федеральное государственное учреждение "Научно-исследовательский институт строительной физики Российской академии архитектуры и строительных наук" (НИИСФ РААСН) (канд. техн. наук И.А. Шмаров, канд. техн. наук В.А. Земцов, Л.В. Бражникова), Ассоциация "Росэлектромонтаж" (В.Н. Коротков), ОАО "ВНИПИнефть" (А.А. Полякова), ООО "ЦЕРЕРА-ЭКСПЕРТ" (Е.А. Литвинская).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(абзац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1. ОБЛАСТЬ ПРИМЕНЕНИЯ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 Настоящий свод правил распространяется на проектирование зданий и сооружений различного назначения, места производства работ вне зданий, площадки промышленных и сельскохозяйственных предприятий, железнодорожные пути площадок предприятий, наружное освещение городов, поселков и сельских населенных пунктов, автотранспортных тоннелей.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 Настоящий свод правил также распространяется на проектирование устройств местного освещения, поставляемых комплектно со станками, машинами и производственной мебелью.</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Настоящий свод правил не распространяется на освещение подземных выработок, морских и речных портов, аэродромов, железнодорожных станций и их путей, спортивных сооружений, помещений для хранения сельскохозяйственной продукции, размещения растений, животных, птиц, а также на проектирование специального технологического и охранного освещения при применении технических средств охраны.</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2. НОРМАТИВНЫЕ ССЫЛКИ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настоящем своде правил использованы нормативные ссылки на следующие документы: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21.607-2014. Система проектной документации для строительства. Правила выполнения рабочей документации наружного электрического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21.608-2014. Система проектной документации для строительства. Правила выполнения рабочей документации внутреннего электрического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111-2014. Стекло листовое бесцветное.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5406-84. Эмали НЦ-25.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9754-76. Эмали МЛ-12.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10982-75. Эмаль ЭП-148 белая для холодильников и других электробытовых приборов.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Ссылка исключена с 21.05.2020. - Изменение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14254-2015 (IEC 60529:2013). Степени защиты, обеспечиваемые оболочками (Код IP);</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23166-99. Блоки оконные. Общие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24940-2016. Здания и сооружения. Методы измерения освещенности;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26824-2018. Здания и сооружения. Методы измерения яркости;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27900-88. (МЭК 598-2-22) Светильники для аварийного освещения. Технические требования;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30826-2014. Стекло многослойное.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31364-2014. Стекло с низкоэмиссионным мягким покрытием.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32997-2014. Стекло листовое, окрашенное в массе. Общие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33017-2014. Стекло с солнцезащитным или декоративным твердым покрытием.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33086-2014. Стекло с солнцезащитным или декоративным мягким покрытием.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33392-2015. Здания и сооружения. Метод определения показателя дискомфорта при искусственном освещении помещений;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33393-2015. Здания и сооружения. Методы измерения коэффициента пульсации освещенности;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56926-2016. Конструкции оконные и балконные различного функционального назначения для жилых зданий. Общие технические условия;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57795-2017. Здания и сооружения. Методы расчета продолжительности инсоляции;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(сноска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EN 410-2014. Стекло и изделия из него. Методы определения оптических характеристик. Определение световых и солнечных характеристик;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IEC 60598-2-22-2012. Светильники. Часть 2-22. Частные требования. Светильники для аварийного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Ссылка исключена с 21.05.2020. - Изменение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54350-2015. Приборы осветительные. Светотехнические требования и методы испытаний;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54815-2011/IEC/PAS 62612:2009. Лампы светодиодные со встроенным устройством управления для общего освещения на напряжения свыше 50 В. Эксплуатационные требования;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Ссылка исключена с 21.05.2020. - Изменение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55708-2013. Освещение наружное утилитарное. Методы расчета нормируемых параметров;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ГОСТ Р МЭК 60598-1-2011. Светильники. Часть 1. Общие требования и методы испытаний;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89.13330.2016 "СНиП II-35-76 Котельные установки";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98.13330.2012 "СНиП 2.05.09-90 Трамвайные и троллейбусные линии";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131.13330.2012 "СНиП 23-01-99* Строительная климатология" (с изменением N 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363.1325800.2017. Покрытия светопрозрачные и фонари зданий и сооружений. Правила проектирования;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 СП 367.1325800.2017. Здания жилые и общественные. Правила проектирования естественного и совмещенного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419.1325800.2018. Здания производственные. Правила проектирования естественного и совмещенного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426.1325800.2018. Конструкции фасадные светопрозрачные зданий и сооружений. Правила проектирования;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СП 439.1325800.2018. Здания и сооружения. Правила проектирования аварийного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СанПиН 2.2.1/2.1.1.1076-01. Гигиенические требования к инсоляции и солнцезащите помещений жилых и общественных зданий и территорий;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СанПиН 2.2.1/2.1.1.1278-03. Гигиенические требования к естественному, искусственному и совмещенному освещению жилых и общественных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СанПиН 2.2.4.3359-16. Санитарно-эпидемиологические требования к физическим факторам на рабочих местах.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на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3. ТЕРМИНЫ И ОПРЕДЕЛЕНИЯ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настоящем своде правил применены следующие термины с соответствующими определениями: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 Аварийное освещение: освещение, предусматриваемое в случае выхода из строя питания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 Автодорожный тоннель: часть дороги для проезда автомобильного транспорта, имеющая перекрытие над проезжей частью, которое препятствует естественному освещению дорожного покрытия и тем самым ухудшает водителю условия видимости дорожной обстановки.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1. Понятие тоннеля распространяется и на солнцезащитные экраны, примыкающие к порталам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Под понятие тоннеля не подпадает галерея, определяемая как часть дороги, перекрытие которой на всем протяжении имеет одну или обе светопроницаемые стены.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 Акцентирующее освещение: выделение светом отдельных деталей на менее освещенном фоне.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 Антипаническое освещение: вид эвакуационного освещения для предотвращения паники и безопасного подхода к путям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 Боковое естественное освещение: естественное освещение помещения через световые проемы в наружных стенах.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 Верхнее естественное освещение: естественное освещение помещения через фонари, световые проемы в стенах в местах перепада высоты здания.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 Внутренняя зона тоннеля: участок тоннеля, примыкающий к переходной зоне и заканчивающийся у начала выездной зоны, а при ее отсутствии - у выездного портала.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 Выездная зона тоннеля: участок тоннеля длиной, равной расстоянию безопасного торможения, примыкающий к внутренней зоне и заканчивающийся у выездного портала.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 Выездной портал тоннеля: часть строительной конструкции тоннеля, обрамляющая выезд из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 Въездная зона тоннеля: участок тоннеля, включающий в себя пороговую и переходную зоны.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3.11. Въездной портал тоннеля: часть строительной конструкции тоннеля, обрамляющая въезд в тоннель.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при наличии солнцезащитного экрана въездной портал соответствует началу перекрытой таким экраном проезжей части.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3.12. Геометрический коэффициент естественной освещенности </w:t>
      </w:r>
      <w:r w:rsidRPr="003C0CFF">
        <w:rPr>
          <w:rFonts w:eastAsia="Times New Roman" w:cstheme="minorHAnsi"/>
          <w:noProof/>
          <w:color w:val="000000" w:themeColor="text1"/>
          <w:sz w:val="24"/>
          <w:szCs w:val="24"/>
          <w:lang w:eastAsia="ru-RU"/>
        </w:rPr>
        <w:drawing>
          <wp:inline distT="0" distB="0" distL="0" distR="0" wp14:anchorId="4DFCA58A" wp14:editId="70678EB3">
            <wp:extent cx="340360" cy="403860"/>
            <wp:effectExtent l="0" t="0" r="2540" b="0"/>
            <wp:docPr id="432" name="Рисунок 432" descr="https://mobile.olimpoks.ru/Prepare/Doc/1035/5/f6b6ea45-8c63-4ce0-8046-f504baab01c2/i/cd2b3a0a-616b-4735-8e7e-4f531a2838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bile.olimpoks.ru/Prepare/Doc/1035/5/f6b6ea45-8c63-4ce0-8046-f504baab01c2/i/cd2b3a0a-616b-4735-8e7e-4f531a2838d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36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отношение естественной освещенности, создаваемой в рассматриваемой точке заданной плоскости внутри помещения светом, прошедшим через незаполненный световой проем и исходящим непосредственно от равномерно яркого неба, к одновременно измеренному значению наружной горизонтальной освещенности под открытым полностью небосводом, при этом участие прямого солнечного света в создании той или другой освещенности исключается.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3.13. Двухстороннее боковое естественное освещение: естественное освещение помещения за счет светопроемов, расположенных в различных плоскостях двух стен.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3.14. Дежурное освещение: освещение, используемое в нерабочее время.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3.15. Длина тоннеля, м: расстояние между въездным и выездным порталами, отсчитываемое вдоль центральной линии проезжей части.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3.16. Длинный тоннель: тоннель, который либо имеет длину более 125 м, либо при подъезде к которому водитель, находящийся на расстоянии безопасного торможения перед въездным порталом, видит менее 20 % площади рамки выездного портала или вообще ее не видит.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3.17. Дорога (в городе): автомобильная дорога, являющаяся составным элементом городской дорожно-уличной сети или соединяющая город с функционально связанными с ним объектами, но в отличие от улиц прокладываемая по свободным от застройки территориям.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3.18. Дополнительное искусственное освещение: искусственное освещение в системе совмещенного освещения, которое используется в течение рабочего дня в зонах с недостаточным естественным освещением.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3.19. Естественное освещение: освещение помещений светом неба (прямым или отраженным), проникающим через световые проемы в наружных ограждающих конструкциях, а также через световоды.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3.20. Заливающее освещение: общее (равномерное или неравномерное) освещение всего фасада здания или сооружения или его существенной части световыми приборами.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3.20а. Зенитный фонарь: фонарь верхнего естественного света с соотношением наименьшей из сторон (или диаметра) входного основания </w:t>
      </w:r>
      <w:r w:rsidRPr="003C0CFF">
        <w:rPr>
          <w:rFonts w:eastAsia="Times New Roman" w:cstheme="minorHAnsi"/>
          <w:noProof/>
          <w:color w:val="000000" w:themeColor="text1"/>
          <w:sz w:val="24"/>
          <w:szCs w:val="24"/>
          <w:lang w:eastAsia="ru-RU"/>
        </w:rPr>
        <w:drawing>
          <wp:inline distT="0" distB="0" distL="0" distR="0" wp14:anchorId="4FDA54A0" wp14:editId="05ED51AD">
            <wp:extent cx="680720" cy="403860"/>
            <wp:effectExtent l="0" t="0" r="5080" b="0"/>
            <wp:docPr id="431" name="Рисунок 431" descr="https://mobile.olimpoks.ru/Prepare/Doc/1035/5/f6b6ea45-8c63-4ce0-8046-f504baab01c2/i/b1529beb-8b63-48b3-8749-7a532f97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bile.olimpoks.ru/Prepare/Doc/1035/5/f6b6ea45-8c63-4ce0-8046-f504baab01c2/i/b1529beb-8b63-48b3-8749-7a532f979f5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72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 высоте светопроводной шахты (светопроводного канала) фонаря (расстояние от входного основания до выходного отверстия) </w:t>
      </w:r>
      <w:r w:rsidRPr="003C0CFF">
        <w:rPr>
          <w:rFonts w:eastAsia="Times New Roman" w:cstheme="minorHAnsi"/>
          <w:noProof/>
          <w:color w:val="000000" w:themeColor="text1"/>
          <w:sz w:val="24"/>
          <w:szCs w:val="24"/>
          <w:lang w:eastAsia="ru-RU"/>
        </w:rPr>
        <w:drawing>
          <wp:inline distT="0" distB="0" distL="0" distR="0" wp14:anchorId="7C62FB43" wp14:editId="7C4E39FD">
            <wp:extent cx="733425" cy="457200"/>
            <wp:effectExtent l="0" t="0" r="9525" b="0"/>
            <wp:docPr id="430" name="Рисунок 430" descr="https://mobile.olimpoks.ru/Prepare/Doc/1035/5/f6b6ea45-8c63-4ce0-8046-f504baab01c2/i/f26dac9b-cee5-4057-b587-485b63596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bile.olimpoks.ru/Prepare/Doc/1035/5/f6b6ea45-8c63-4ce0-8046-f504baab01c2/i/f26dac9b-cee5-4057-b587-485b6359652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60139A77" wp14:editId="6B19B54C">
            <wp:extent cx="680720" cy="403860"/>
            <wp:effectExtent l="0" t="0" r="5080" b="0"/>
            <wp:docPr id="429" name="Рисунок 429" descr="https://mobile.olimpoks.ru/Prepare/Doc/1035/5/f6b6ea45-8c63-4ce0-8046-f504baab01c2/i/b1529beb-8b63-48b3-8749-7a532f97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bile.olimpoks.ru/Prepare/Doc/1035/5/f6b6ea45-8c63-4ce0-8046-f504baab01c2/i/b1529beb-8b63-48b3-8749-7a532f979f5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72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544D1E4B" wp14:editId="2D8FFC7D">
            <wp:extent cx="733425" cy="457200"/>
            <wp:effectExtent l="0" t="0" r="9525" b="0"/>
            <wp:docPr id="428" name="Рисунок 428" descr="https://mobile.olimpoks.ru/Prepare/Doc/1035/5/f6b6ea45-8c63-4ce0-8046-f504baab01c2/i/f26dac9b-cee5-4057-b587-485b63596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bile.olimpoks.ru/Prepare/Doc/1035/5/f6b6ea45-8c63-4ce0-8046-f504baab01c2/i/f26dac9b-cee5-4057-b587-485b6359652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0,25.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3.20а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3.21. Знак безопасности: знак, дающий информацию о мерах безопасности (запрещения, предписания или разрешения определенных действий) с помощью комбинации цвета, формы и графических символов или текста.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3.22. Знак безопасности с внешней подсветкой: знак безопасности, освещаемый извне.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3.23. Знак безопасности с внутренней подсветкой: знак безопасности, освещаемый изнутри.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знак безопасности с внутренней подсветкой является световым указателем.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3.24. Индекс цветопередачи </w:t>
      </w:r>
      <w:r w:rsidRPr="003C0CFF">
        <w:rPr>
          <w:rFonts w:eastAsia="Times New Roman" w:cstheme="minorHAnsi"/>
          <w:noProof/>
          <w:color w:val="000000" w:themeColor="text1"/>
          <w:sz w:val="24"/>
          <w:szCs w:val="24"/>
          <w:lang w:eastAsia="ru-RU"/>
        </w:rPr>
        <w:drawing>
          <wp:inline distT="0" distB="0" distL="0" distR="0" wp14:anchorId="07D607B4" wp14:editId="38F23206">
            <wp:extent cx="446405" cy="467995"/>
            <wp:effectExtent l="0" t="0" r="0" b="8255"/>
            <wp:docPr id="427" name="Рисунок 427" descr="https://mobile.olimpoks.ru/Prepare/Doc/1035/5/f6b6ea45-8c63-4ce0-8046-f504baab01c2/i/527c830e-6b93-4653-a29b-3f4126887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bile.olimpoks.ru/Prepare/Doc/1035/5/f6b6ea45-8c63-4ce0-8046-f504baab01c2/i/527c830e-6b93-4653-a29b-3f41268878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05"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мера соответствия зрительных восприятий цветного объекта, освещенного исследуемым и стандартным источниками света при одинаковых условиях наблюдения.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3.25. Интенсивность движения, единиц в час: число транспортных средств в единицу времени, проходящих через поперечное сечение полотна дороги в часы пик в обоих направлениях.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3.26. Комбинированное искусственное освещение: искусственное освещение, при котором к общему искусственному освещению добавляется местное.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3.27. Комбинированное естественное освещение: сочетание верхнего и бокового естественного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3.28. Коэффициент естественной освещенности (КЕО) e, %: отношение естественной освещенности, создаваемой в расчетной точке заданной плоскости внутри помещения светом неба (непосредственным или после отражений), к одновременно измеренному значению наружной горизонтальной освещенности, создаваемой светом полностью открытого небосвода; при этом участие прямого солнечного света в создании той или другой освещенности исключается.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3.29. Контраст объекта различения с фоном K, относительные единицы: определяется отношением абсолютной величины разности между яркостью объекта и фона к яркости фона. Контраст объекта различения с фоном считается: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большим - при K более 0,5 (объект и фон резко отличаются по яркости);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средним - при K от 0,2 до 0,5 (объект и фон заметно отличаются по яркости);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 малым - при K менее 0,2 (объект и фон мало отличаются по яркости).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3.30. Короткий тоннель: тоннель, который имеет длину не более 125 м и при подъезде к которому водитель, находящийся на расстоянии безопасного торможения перед въездным порталом, может видеть не менее 20 % площади рамки выездного портала.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3.31. Коэффициент неравномерности яркости неба </w:t>
      </w:r>
      <w:r w:rsidRPr="003C0CFF">
        <w:rPr>
          <w:rFonts w:eastAsia="Times New Roman" w:cstheme="minorHAnsi"/>
          <w:noProof/>
          <w:color w:val="000000" w:themeColor="text1"/>
          <w:sz w:val="24"/>
          <w:szCs w:val="24"/>
          <w:lang w:eastAsia="ru-RU"/>
        </w:rPr>
        <w:drawing>
          <wp:inline distT="0" distB="0" distL="0" distR="0" wp14:anchorId="3E75DB68" wp14:editId="4A6F0CB5">
            <wp:extent cx="1180465" cy="669925"/>
            <wp:effectExtent l="0" t="0" r="635" b="0"/>
            <wp:docPr id="426" name="Рисунок 426" descr="https://mobile.olimpoks.ru/Prepare/Doc/1035/5/f6b6ea45-8c63-4ce0-8046-f504baab01c2/i/cfbc16aa-0850-4cd1-ab13-618594601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bile.olimpoks.ru/Prepare/Doc/1035/5/f6b6ea45-8c63-4ce0-8046-f504baab01c2/i/cfbc16aa-0850-4cd1-ab13-6185946012d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465" cy="6699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коэффициент, учитывающий неравномерность распределения яркости по небу и определяемый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147531F" wp14:editId="484C9E28">
            <wp:extent cx="12801600" cy="712470"/>
            <wp:effectExtent l="0" t="0" r="0" b="0"/>
            <wp:docPr id="425" name="Рисунок 425" descr="https://mobile.olimpoks.ru/Prepare/Doc/1035/5/f6b6ea45-8c63-4ce0-8046-f504baab01c2/i/f4633836-db08-4fec-84db-25d9145a9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bile.olimpoks.ru/Prepare/Doc/1035/5/f6b6ea45-8c63-4ce0-8046-f504baab01c2/i/f4633836-db08-4fec-84db-25d9145a95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0" cy="7124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3E5C52D3" wp14:editId="76E250E0">
            <wp:extent cx="351155" cy="499745"/>
            <wp:effectExtent l="0" t="0" r="0" b="0"/>
            <wp:docPr id="424" name="Рисунок 424" descr="https://mobile.olimpoks.ru/Prepare/Doc/1035/5/f6b6ea45-8c63-4ce0-8046-f504baab01c2/i/7c2c7d9b-671d-4151-9959-89c7f4166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bile.olimpoks.ru/Prepare/Doc/1035/5/f6b6ea45-8c63-4ce0-8046-f504baab01c2/i/7c2c7d9b-671d-4151-9959-89c7f41661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155"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угол возвышения солнца над горизонтом, 0° ≤ </w:t>
      </w:r>
      <w:r w:rsidRPr="003C0CFF">
        <w:rPr>
          <w:rFonts w:eastAsia="Times New Roman" w:cstheme="minorHAnsi"/>
          <w:noProof/>
          <w:color w:val="000000" w:themeColor="text1"/>
          <w:sz w:val="24"/>
          <w:szCs w:val="24"/>
          <w:lang w:eastAsia="ru-RU"/>
        </w:rPr>
        <w:drawing>
          <wp:inline distT="0" distB="0" distL="0" distR="0" wp14:anchorId="6345949D" wp14:editId="7F6332F5">
            <wp:extent cx="351155" cy="499745"/>
            <wp:effectExtent l="0" t="0" r="0" b="0"/>
            <wp:docPr id="423" name="Рисунок 423" descr="https://mobile.olimpoks.ru/Prepare/Doc/1035/5/f6b6ea45-8c63-4ce0-8046-f504baab01c2/i/7c2c7d9b-671d-4151-9959-89c7f4166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bile.olimpoks.ru/Prepare/Doc/1035/5/f6b6ea45-8c63-4ce0-8046-f504baab01c2/i/7c2c7d9b-671d-4151-9959-89c7f41661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155"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90°;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BA6DEBC" wp14:editId="6BBBA457">
            <wp:extent cx="1350645" cy="701675"/>
            <wp:effectExtent l="0" t="0" r="1905" b="3175"/>
            <wp:docPr id="422" name="Рисунок 422" descr="https://mobile.olimpoks.ru/Prepare/Doc/1035/5/f6b6ea45-8c63-4ce0-8046-f504baab01c2/i/101ccee8-f331-4545-9720-dfa0589dc8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ile.olimpoks.ru/Prepare/Doc/1035/5/f6b6ea45-8c63-4ce0-8046-f504baab01c2/i/101ccee8-f331-4545-9720-dfa0589dc8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645" cy="7016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яркость участка неба;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89C99D7" wp14:editId="4AC686E0">
            <wp:extent cx="999490" cy="765810"/>
            <wp:effectExtent l="0" t="0" r="0" b="0"/>
            <wp:docPr id="421" name="Рисунок 421" descr="https://mobile.olimpoks.ru/Prepare/Doc/1035/5/f6b6ea45-8c63-4ce0-8046-f504baab01c2/i/1e131ce8-2d7c-4da5-a261-e05524b15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bile.olimpoks.ru/Prepare/Doc/1035/5/f6b6ea45-8c63-4ce0-8046-f504baab01c2/i/1e131ce8-2d7c-4da5-a261-e05524b154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9490"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средняя яркость неба;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D311AF0" wp14:editId="1FE341AE">
            <wp:extent cx="351155" cy="520700"/>
            <wp:effectExtent l="0" t="0" r="0" b="0"/>
            <wp:docPr id="420" name="Рисунок 420" descr="https://mobile.olimpoks.ru/Prepare/Doc/1035/5/f6b6ea45-8c63-4ce0-8046-f504baab01c2/i/f4352e37-80fc-44c9-bf2f-aa4b566d3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bile.olimpoks.ru/Prepare/Doc/1035/5/f6b6ea45-8c63-4ce0-8046-f504baab01c2/i/f4352e37-80fc-44c9-bf2f-aa4b566d32f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155" cy="520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(0°) = 0,429 - на горизонте.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3.32. Коэффициент пульсации освещенности </w:t>
      </w:r>
      <w:r w:rsidRPr="003C0CFF">
        <w:rPr>
          <w:rFonts w:eastAsia="Times New Roman" w:cstheme="minorHAnsi"/>
          <w:noProof/>
          <w:color w:val="000000" w:themeColor="text1"/>
          <w:sz w:val="24"/>
          <w:szCs w:val="24"/>
          <w:lang w:eastAsia="ru-RU"/>
        </w:rPr>
        <w:drawing>
          <wp:inline distT="0" distB="0" distL="0" distR="0" wp14:anchorId="6C5B778A" wp14:editId="0C05E657">
            <wp:extent cx="680720" cy="712470"/>
            <wp:effectExtent l="0" t="0" r="5080" b="0"/>
            <wp:docPr id="419" name="Рисунок 419" descr="https://mobile.olimpoks.ru/Prepare/Doc/1035/5/f6b6ea45-8c63-4ce0-8046-f504baab01c2/i/9e59f57d-e235-443e-93fb-22e79c0d64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bile.olimpoks.ru/Prepare/Doc/1035/5/f6b6ea45-8c63-4ce0-8046-f504baab01c2/i/9e59f57d-e235-443e-93fb-22e79c0d647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20" cy="7124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критерий оценки относительной глубины колебаний освещенности в осветительной установке в результате изменения во времени светового потока источников света при их питании переменным током, выражающийся формулой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9625F29" wp14:editId="2DE993A5">
            <wp:extent cx="5337810" cy="1637665"/>
            <wp:effectExtent l="0" t="0" r="0" b="635"/>
            <wp:docPr id="418" name="Рисунок 418" descr="https://mobile.olimpoks.ru/Prepare/Doc/1035/5/f6b6ea45-8c63-4ce0-8046-f504baab01c2/i/a6018ae6-6b30-4aa9-8437-5b8c8f5b66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bile.olimpoks.ru/Prepare/Doc/1035/5/f6b6ea45-8c63-4ce0-8046-f504baab01c2/i/a6018ae6-6b30-4aa9-8437-5b8c8f5b661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7810" cy="16376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где </w:t>
      </w:r>
      <w:r w:rsidRPr="003C0CFF">
        <w:rPr>
          <w:rFonts w:eastAsia="Times New Roman" w:cstheme="minorHAnsi"/>
          <w:noProof/>
          <w:color w:val="000000" w:themeColor="text1"/>
          <w:sz w:val="24"/>
          <w:szCs w:val="24"/>
          <w:lang w:eastAsia="ru-RU"/>
        </w:rPr>
        <w:drawing>
          <wp:inline distT="0" distB="0" distL="0" distR="0" wp14:anchorId="74D1DC0F" wp14:editId="31F4115A">
            <wp:extent cx="1169670" cy="669925"/>
            <wp:effectExtent l="0" t="0" r="0" b="0"/>
            <wp:docPr id="417" name="Рисунок 417" descr="https://mobile.olimpoks.ru/Prepare/Doc/1035/5/f6b6ea45-8c63-4ce0-8046-f504baab01c2/i/8d02c26f-1e8f-4c5a-a5e9-93daea924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bile.olimpoks.ru/Prepare/Doc/1035/5/f6b6ea45-8c63-4ce0-8046-f504baab01c2/i/8d02c26f-1e8f-4c5a-a5e9-93daea924a9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6699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7B4A84BB" wp14:editId="74D2EE5F">
            <wp:extent cx="1073785" cy="659130"/>
            <wp:effectExtent l="0" t="0" r="0" b="7620"/>
            <wp:docPr id="416" name="Рисунок 416" descr="https://mobile.olimpoks.ru/Prepare/Doc/1035/5/f6b6ea45-8c63-4ce0-8046-f504baab01c2/i/85795a9f-0b20-4f48-bf44-898e27e3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bile.olimpoks.ru/Prepare/Doc/1035/5/f6b6ea45-8c63-4ce0-8046-f504baab01c2/i/85795a9f-0b20-4f48-bf44-898e27e3c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максимальное и минимальное значения освещенности соответственно за период ее колебания,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B0F96D7" wp14:editId="001A9857">
            <wp:extent cx="850900" cy="797560"/>
            <wp:effectExtent l="0" t="0" r="6350" b="2540"/>
            <wp:docPr id="415" name="Рисунок 415" descr="https://mobile.olimpoks.ru/Prepare/Doc/1035/5/f6b6ea45-8c63-4ce0-8046-f504baab01c2/i/c33fb745-9375-407b-a476-5fa9906f6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bile.olimpoks.ru/Prepare/Doc/1035/5/f6b6ea45-8c63-4ce0-8046-f504baab01c2/i/c33fb745-9375-407b-a476-5fa9906f6df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7975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среднее значение освещенности за этот же период,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коэффициент пульсации освещенности учитывает пульсацию светового потока до 300 Гц. Пульсация освещенности свыше 300 Гц не оказывает влияния на общую и зрительную работоспособность.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Соблюдение норм коэффициента пульсации освещенности позволяет предотвратить отрицательное влияние фликера, стробоскопического эффекта и снизить зрительное и общее утомление человека.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3.33. Коэффициент светового климата </w:t>
      </w:r>
      <w:r w:rsidRPr="003C0CFF">
        <w:rPr>
          <w:rFonts w:eastAsia="Times New Roman" w:cstheme="minorHAnsi"/>
          <w:noProof/>
          <w:color w:val="000000" w:themeColor="text1"/>
          <w:sz w:val="24"/>
          <w:szCs w:val="24"/>
          <w:lang w:eastAsia="ru-RU"/>
        </w:rPr>
        <w:drawing>
          <wp:inline distT="0" distB="0" distL="0" distR="0" wp14:anchorId="1752FA1B" wp14:editId="65518FA3">
            <wp:extent cx="520700" cy="425450"/>
            <wp:effectExtent l="0" t="0" r="0" b="0"/>
            <wp:docPr id="414" name="Рисунок 414" descr="https://mobile.olimpoks.ru/Prepare/Doc/1035/5/f6b6ea45-8c63-4ce0-8046-f504baab01c2/i/9cb81a4f-fc8c-4fb3-85b3-f820d5023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bile.olimpoks.ru/Prepare/Doc/1035/5/f6b6ea45-8c63-4ce0-8046-f504baab01c2/i/9cb81a4f-fc8c-4fb3-85b3-f820d5023db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00" cy="4254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относительные единицы: коэффициент, учитывающий особенности светового климата района строительства, N - номер группы административных районов.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3.34. Коэффициент слепящей блескости </w:t>
      </w:r>
      <w:r w:rsidRPr="003C0CFF">
        <w:rPr>
          <w:rFonts w:eastAsia="Times New Roman" w:cstheme="minorHAnsi"/>
          <w:noProof/>
          <w:color w:val="000000" w:themeColor="text1"/>
          <w:sz w:val="24"/>
          <w:szCs w:val="24"/>
          <w:lang w:eastAsia="ru-RU"/>
        </w:rPr>
        <w:drawing>
          <wp:inline distT="0" distB="0" distL="0" distR="0" wp14:anchorId="05004068" wp14:editId="75B399D0">
            <wp:extent cx="563245" cy="478155"/>
            <wp:effectExtent l="0" t="0" r="8255" b="0"/>
            <wp:docPr id="413" name="Рисунок 413" descr="https://mobile.olimpoks.ru/Prepare/Doc/1035/5/f6b6ea45-8c63-4ce0-8046-f504baab01c2/i/934b345a-0193-49ca-ac1b-8cbbb0707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bile.olimpoks.ru/Prepare/Doc/1035/5/f6b6ea45-8c63-4ce0-8046-f504baab01c2/i/934b345a-0193-49ca-ac1b-8cbbb07077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 cy="478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относительные единицы: коэффициент, характеризующий прямую слепящую блескость светильников в осветительной установке в местах производства работ вне зданий, вычисляемый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620BE12" wp14:editId="3128759B">
            <wp:extent cx="5614035" cy="1860550"/>
            <wp:effectExtent l="0" t="0" r="5715" b="6350"/>
            <wp:docPr id="412" name="Рисунок 412" descr="https://mobile.olimpoks.ru/Prepare/Doc/1035/5/f6b6ea45-8c63-4ce0-8046-f504baab01c2/i/8c340685-10c9-469c-aa19-94ef6b268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bile.olimpoks.ru/Prepare/Doc/1035/5/f6b6ea45-8c63-4ce0-8046-f504baab01c2/i/8c340685-10c9-469c-aa19-94ef6b268e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035" cy="18605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78349691" wp14:editId="14814206">
            <wp:extent cx="669925" cy="638175"/>
            <wp:effectExtent l="0" t="0" r="0" b="9525"/>
            <wp:docPr id="411" name="Рисунок 411" descr="https://mobile.olimpoks.ru/Prepare/Doc/1035/5/f6b6ea45-8c63-4ce0-8046-f504baab01c2/i/199cef35-a78a-4306-9c86-580de071b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bile.olimpoks.ru/Prepare/Doc/1035/5/f6b6ea45-8c63-4ce0-8046-f504baab01c2/i/199cef35-a78a-4306-9c86-580de071b90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925" cy="6381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суммарная вуалирующая яркость, вызванная осветительной установкой и определяемая суммой вуалирующих яркостей от каждого светильника (</w:t>
      </w:r>
      <w:r w:rsidRPr="003C0CFF">
        <w:rPr>
          <w:rFonts w:eastAsia="Times New Roman" w:cstheme="minorHAnsi"/>
          <w:noProof/>
          <w:color w:val="000000" w:themeColor="text1"/>
          <w:sz w:val="24"/>
          <w:szCs w:val="24"/>
          <w:lang w:eastAsia="ru-RU"/>
        </w:rPr>
        <w:drawing>
          <wp:inline distT="0" distB="0" distL="0" distR="0" wp14:anchorId="3DCE91B5" wp14:editId="38B8A911">
            <wp:extent cx="669925" cy="638175"/>
            <wp:effectExtent l="0" t="0" r="0" b="9525"/>
            <wp:docPr id="410" name="Рисунок 410" descr="https://mobile.olimpoks.ru/Prepare/Doc/1035/5/f6b6ea45-8c63-4ce0-8046-f504baab01c2/i/199cef35-a78a-4306-9c86-580de071b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obile.olimpoks.ru/Prepare/Doc/1035/5/f6b6ea45-8c63-4ce0-8046-f504baab01c2/i/199cef35-a78a-4306-9c86-580de071b90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925" cy="6381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F3AC2A0" wp14:editId="2C49389C">
            <wp:extent cx="690880" cy="723265"/>
            <wp:effectExtent l="0" t="0" r="0" b="635"/>
            <wp:docPr id="409" name="Рисунок 409" descr="https://mobile.olimpoks.ru/Prepare/Doc/1035/5/f6b6ea45-8c63-4ce0-8046-f504baab01c2/i/b0247741-57fd-445f-b1cf-faa9cdcc2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obile.olimpoks.ru/Prepare/Doc/1035/5/f6b6ea45-8c63-4ce0-8046-f504baab01c2/i/b0247741-57fd-445f-b1cf-faa9cdcc228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880" cy="7232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00D9343" wp14:editId="73D73BF7">
            <wp:extent cx="755015" cy="765810"/>
            <wp:effectExtent l="0" t="0" r="6985" b="0"/>
            <wp:docPr id="408" name="Рисунок 408" descr="https://mobile.olimpoks.ru/Prepare/Doc/1035/5/f6b6ea45-8c63-4ce0-8046-f504baab01c2/i/7de378f4-8aeb-4d27-a072-b35c2ad50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bile.olimpoks.ru/Prepare/Doc/1035/5/f6b6ea45-8c63-4ce0-8046-f504baab01c2/i/7de378f4-8aeb-4d27-a072-b35c2ad5024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015"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 </w:t>
      </w:r>
      <w:r w:rsidRPr="003C0CFF">
        <w:rPr>
          <w:rFonts w:eastAsia="Times New Roman" w:cstheme="minorHAnsi"/>
          <w:noProof/>
          <w:color w:val="000000" w:themeColor="text1"/>
          <w:sz w:val="24"/>
          <w:szCs w:val="24"/>
          <w:lang w:eastAsia="ru-RU"/>
        </w:rPr>
        <w:drawing>
          <wp:inline distT="0" distB="0" distL="0" distR="0" wp14:anchorId="23246FA3" wp14:editId="47DB9243">
            <wp:extent cx="723265" cy="723265"/>
            <wp:effectExtent l="0" t="0" r="635" b="635"/>
            <wp:docPr id="407" name="Рисунок 407" descr="https://mobile.olimpoks.ru/Prepare/Doc/1035/5/f6b6ea45-8c63-4ce0-8046-f504baab01c2/i/67615474-446a-4514-a32e-455a1132f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bile.olimpoks.ru/Prepare/Doc/1035/5/f6b6ea45-8c63-4ce0-8046-f504baab01c2/i/67615474-446a-4514-a32e-455a1132f5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Вуалирующую яркость каждого светильника вычисляют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4D86EA35" wp14:editId="4BD3D33D">
            <wp:extent cx="4338320" cy="840105"/>
            <wp:effectExtent l="0" t="0" r="5080" b="0"/>
            <wp:docPr id="406" name="Рисунок 406" descr="https://mobile.olimpoks.ru/Prepare/Doc/1035/5/f6b6ea45-8c63-4ce0-8046-f504baab01c2/i/248accfa-2754-40be-81c5-1792a2a99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bile.olimpoks.ru/Prepare/Doc/1035/5/f6b6ea45-8c63-4ce0-8046-f504baab01c2/i/248accfa-2754-40be-81c5-1792a2a997e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8320" cy="8401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(3.4)</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здесь </w:t>
      </w:r>
      <w:r w:rsidRPr="003C0CFF">
        <w:rPr>
          <w:rFonts w:eastAsia="Times New Roman" w:cstheme="minorHAnsi"/>
          <w:noProof/>
          <w:color w:val="000000" w:themeColor="text1"/>
          <w:sz w:val="24"/>
          <w:szCs w:val="24"/>
          <w:lang w:eastAsia="ru-RU"/>
        </w:rPr>
        <w:drawing>
          <wp:inline distT="0" distB="0" distL="0" distR="0" wp14:anchorId="185B98CA" wp14:editId="0D0137C1">
            <wp:extent cx="1042035" cy="755015"/>
            <wp:effectExtent l="0" t="0" r="5715" b="6985"/>
            <wp:docPr id="405" name="Рисунок 405" descr="https://mobile.olimpoks.ru/Prepare/Doc/1035/5/f6b6ea45-8c63-4ce0-8046-f504baab01c2/i/d149be7b-cb83-4170-9099-739fc8109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bile.olimpoks.ru/Prepare/Doc/1035/5/f6b6ea45-8c63-4ce0-8046-f504baab01c2/i/d149be7b-cb83-4170-9099-739fc81099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2035" cy="7550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освещенность на зрачке наблюдателя в плоскости, перпендикулярной линии зрения (2° ниже горизонтали, см. рисунок 3.1),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2C4ADB3" wp14:editId="4E48638C">
            <wp:extent cx="414655" cy="531495"/>
            <wp:effectExtent l="0" t="0" r="4445" b="1905"/>
            <wp:docPr id="404" name="Рисунок 404" descr="https://mobile.olimpoks.ru/Prepare/Doc/1035/5/f6b6ea45-8c63-4ce0-8046-f504baab01c2/i/6b6af4e1-dd2b-493c-8d46-a376e296e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bile.olimpoks.ru/Prepare/Doc/1035/5/f6b6ea45-8c63-4ce0-8046-f504baab01c2/i/6b6af4e1-dd2b-493c-8d46-a376e296ef4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5" cy="5314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угол между линией зрения наблюдателя и направлением падения света на зрачок наблюдателя, градусы;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A1FE28E" wp14:editId="44433342">
            <wp:extent cx="690880" cy="690880"/>
            <wp:effectExtent l="0" t="0" r="0" b="0"/>
            <wp:docPr id="403" name="Рисунок 403" descr="https://mobile.olimpoks.ru/Prepare/Doc/1035/5/f6b6ea45-8c63-4ce0-8046-f504baab01c2/i/8755f34a-fc35-46e7-813b-cd4d4542a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bile.olimpoks.ru/Prepare/Doc/1035/5/f6b6ea45-8c63-4ce0-8046-f504baab01c2/i/8755f34a-fc35-46e7-813b-cd4d4542a75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эквивалентная вуалирующая яркость фона (окружения),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Допуская отражение фона в основном диффузным, эквивалентную вуалирующую яркость фона вычисляют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112445D" wp14:editId="14D59860">
            <wp:extent cx="5295265" cy="690880"/>
            <wp:effectExtent l="0" t="0" r="635" b="0"/>
            <wp:docPr id="402" name="Рисунок 402" descr="https://mobile.olimpoks.ru/Prepare/Doc/1035/5/f6b6ea45-8c63-4ce0-8046-f504baab01c2/i/2effee56-fb3e-4bf1-85a9-d03c19802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bile.olimpoks.ru/Prepare/Doc/1035/5/f6b6ea45-8c63-4ce0-8046-f504baab01c2/i/2effee56-fb3e-4bf1-85a9-d03c1980211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265" cy="6908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614366A0" wp14:editId="71C4FA76">
            <wp:extent cx="616585" cy="723265"/>
            <wp:effectExtent l="0" t="0" r="0" b="635"/>
            <wp:docPr id="401" name="Рисунок 401" descr="https://mobile.olimpoks.ru/Prepare/Doc/1035/5/f6b6ea45-8c63-4ce0-8046-f504baab01c2/i/f25d62e6-6e9b-4f38-8080-8e502a09e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obile.olimpoks.ru/Prepare/Doc/1035/5/f6b6ea45-8c63-4ce0-8046-f504baab01c2/i/f25d62e6-6e9b-4f38-8080-8e502a09efc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585" cy="7232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средняя горизонтальная освещенность поверхности;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CC9881D" wp14:editId="4A779521">
            <wp:extent cx="478155" cy="542290"/>
            <wp:effectExtent l="0" t="0" r="0" b="0"/>
            <wp:docPr id="400" name="Рисунок 400" descr="https://mobile.olimpoks.ru/Prepare/Doc/1035/5/f6b6ea45-8c63-4ce0-8046-f504baab01c2/i/7f16ed48-af22-488f-b3ed-b1c5d2ab0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bile.olimpoks.ru/Prepare/Doc/1035/5/f6b6ea45-8c63-4ce0-8046-f504baab01c2/i/7f16ed48-af22-488f-b3ed-b1c5d2ab04b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 cy="5422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средний коэффициент отражения окружающих поверхностей; в случаях, когда он не известен, принимают равным 0,15.</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68A0EF99" wp14:editId="0114ADE8">
            <wp:extent cx="11950700" cy="6539230"/>
            <wp:effectExtent l="0" t="0" r="0" b="0"/>
            <wp:docPr id="399" name="Рисунок 399" descr="https://mobile.olimpoks.ru/Prepare/Doc/1035/5/f6b6ea45-8c63-4ce0-8046-f504baab01c2/i/ea1a16d0-f870-4d9e-ad3b-fa6bcc152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obile.olimpoks.ru/Prepare/Doc/1035/5/f6b6ea45-8c63-4ce0-8046-f504baab01c2/i/ea1a16d0-f870-4d9e-ad3b-fa6bcc1524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0700" cy="653923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3.1. 1 - линия зрения; 2 - плоскость глаз наблюдателя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3.35. Коэффициент эксплуатации (для естественного освещения) MF, относительные единицы: коэффициент, равный отношению значения КЕО в заданной точке, создаваемой естественным освещением к концу установленного срока эксплуатации, к значению КЕО в той же точке в начале эксплуатации.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учитывает снижение КЕО в процессе эксплуатации вследствие загрязнения и старения светопрозрачных заполнений в световых проемах, а также снижения отражающих свойств поверхностей помещения: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1605149" wp14:editId="371B133F">
            <wp:extent cx="308610" cy="244475"/>
            <wp:effectExtent l="0" t="0" r="0" b="3175"/>
            <wp:docPr id="398" name="Рисунок 398" descr="https://mobile.olimpoks.ru/Prepare/Doc/1035/5/f6b6ea45-8c63-4ce0-8046-f504baab01c2/i/2ad53309-5851-4bf4-a637-a7641cc4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bile.olimpoks.ru/Prepare/Doc/1035/5/f6b6ea45-8c63-4ce0-8046-f504baab01c2/i/2ad53309-5851-4bf4-a637-a7641cc4e86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24BE1FEF" wp14:editId="2CDBCCEC">
            <wp:extent cx="701675" cy="403860"/>
            <wp:effectExtent l="0" t="0" r="3175" b="0"/>
            <wp:docPr id="397" name="Рисунок 397" descr="https://mobile.olimpoks.ru/Prepare/Doc/1035/5/f6b6ea45-8c63-4ce0-8046-f504baab01c2/i/692e6bda-f244-413a-b5ea-fa9e8e3b9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obile.olimpoks.ru/Prepare/Doc/1035/5/f6b6ea45-8c63-4ce0-8046-f504baab01c2/i/692e6bda-f244-413a-b5ea-fa9e8e3b925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67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07513CF3" wp14:editId="529BE721">
            <wp:extent cx="723265" cy="403860"/>
            <wp:effectExtent l="0" t="0" r="635" b="0"/>
            <wp:docPr id="396" name="Рисунок 396" descr="https://mobile.olimpoks.ru/Prepare/Doc/1035/5/f6b6ea45-8c63-4ce0-8046-f504baab01c2/i/a027c41e-2d7b-403c-88f6-cabd0b2f9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bile.olimpoks.ru/Prepare/Doc/1035/5/f6b6ea45-8c63-4ce0-8046-f504baab01c2/i/a027c41e-2d7b-403c-88f6-cabd0b2f93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(3.6)</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41FEC750" wp14:editId="6631183C">
            <wp:extent cx="701675" cy="403860"/>
            <wp:effectExtent l="0" t="0" r="3175" b="0"/>
            <wp:docPr id="395" name="Рисунок 395" descr="https://mobile.olimpoks.ru/Prepare/Doc/1035/5/f6b6ea45-8c63-4ce0-8046-f504baab01c2/i/692e6bda-f244-413a-b5ea-fa9e8e3b9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bile.olimpoks.ru/Prepare/Doc/1035/5/f6b6ea45-8c63-4ce0-8046-f504baab01c2/i/692e6bda-f244-413a-b5ea-fa9e8e3b925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67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снижение КЕО в процессе эксплуатации вследствие загрязнения и старения светопрозрачных заполнений в световых проемах;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047B9D47" wp14:editId="154D5A5A">
            <wp:extent cx="723265" cy="403860"/>
            <wp:effectExtent l="0" t="0" r="635" b="0"/>
            <wp:docPr id="394" name="Рисунок 394" descr="https://mobile.olimpoks.ru/Prepare/Doc/1035/5/f6b6ea45-8c63-4ce0-8046-f504baab01c2/i/a027c41e-2d7b-403c-88f6-cabd0b2f9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bile.olimpoks.ru/Prepare/Doc/1035/5/f6b6ea45-8c63-4ce0-8046-f504baab01c2/i/a027c41e-2d7b-403c-88f6-cabd0b2f93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снижение КЕО в процессе эксплуатации вследствие снижения отражающих свойств поверхностей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коэффициент эксплуатации - величина, обратная ранее применявшемуся коэффициенту запаса </w:t>
      </w:r>
      <w:r w:rsidRPr="003C0CFF">
        <w:rPr>
          <w:rFonts w:eastAsia="Times New Roman" w:cstheme="minorHAnsi"/>
          <w:noProof/>
          <w:color w:val="000000" w:themeColor="text1"/>
          <w:sz w:val="24"/>
          <w:szCs w:val="24"/>
          <w:lang w:eastAsia="ru-RU"/>
        </w:rPr>
        <w:drawing>
          <wp:inline distT="0" distB="0" distL="0" distR="0" wp14:anchorId="538FF2F4" wp14:editId="546866B0">
            <wp:extent cx="403860" cy="393700"/>
            <wp:effectExtent l="0" t="0" r="0" b="6350"/>
            <wp:docPr id="393" name="Рисунок 393" descr="https://mobile.olimpoks.ru/Prepare/Doc/1035/5/f6b6ea45-8c63-4ce0-8046-f504baab01c2/i/3690c0fe-8433-46b0-9427-f51d4acd4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bile.olimpoks.ru/Prepare/Doc/1035/5/f6b6ea45-8c63-4ce0-8046-f504baab01c2/i/3690c0fe-8433-46b0-9427-f51d4acd488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естественного освещения (MF = 1/</w:t>
      </w:r>
      <w:r w:rsidRPr="003C0CFF">
        <w:rPr>
          <w:rFonts w:eastAsia="Times New Roman" w:cstheme="minorHAnsi"/>
          <w:noProof/>
          <w:color w:val="000000" w:themeColor="text1"/>
          <w:sz w:val="24"/>
          <w:szCs w:val="24"/>
          <w:lang w:eastAsia="ru-RU"/>
        </w:rPr>
        <w:drawing>
          <wp:inline distT="0" distB="0" distL="0" distR="0" wp14:anchorId="443844EE" wp14:editId="3DB933E1">
            <wp:extent cx="403860" cy="393700"/>
            <wp:effectExtent l="0" t="0" r="0" b="6350"/>
            <wp:docPr id="392" name="Рисунок 392" descr="https://mobile.olimpoks.ru/Prepare/Doc/1035/5/f6b6ea45-8c63-4ce0-8046-f504baab01c2/i/3690c0fe-8433-46b0-9427-f51d4acd4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bile.olimpoks.ru/Prepare/Doc/1035/5/f6b6ea45-8c63-4ce0-8046-f504baab01c2/i/3690c0fe-8433-46b0-9427-f51d4acd488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3.36. Коэффициент эксплуатации (для искусственного освещения) MF, относительные единицы: коэффициент, равный отношению освещенности или яркости в заданной точке, создаваемой осветительной установкой в конце установленного срока эксплуатации, к освещенности или яркости в той же точке в начале эксплуатации.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учитывает снижение освещенности или яркости в процессе эксплуатации осветительной установки вследствие спада светового потока, выхода из строя источников света и невосстанавливаемого изменения отражающих и пропускающих свойств оптических элементов осветительных приборов, а также загрязнения поверхностей помещения, наружных стен здания или сооружения, проезжей части дороги или тротуара:</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5081B47" wp14:editId="230B32C9">
            <wp:extent cx="308610" cy="244475"/>
            <wp:effectExtent l="0" t="0" r="0" b="3175"/>
            <wp:docPr id="391" name="Рисунок 391" descr="https://mobile.olimpoks.ru/Prepare/Doc/1035/5/f6b6ea45-8c63-4ce0-8046-f504baab01c2/i/2ad53309-5851-4bf4-a637-a7641cc4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obile.olimpoks.ru/Prepare/Doc/1035/5/f6b6ea45-8c63-4ce0-8046-f504baab01c2/i/2ad53309-5851-4bf4-a637-a7641cc4e86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7FA80123" wp14:editId="6B409DCA">
            <wp:extent cx="861060" cy="361315"/>
            <wp:effectExtent l="0" t="0" r="0" b="635"/>
            <wp:docPr id="390" name="Рисунок 390" descr="https://mobile.olimpoks.ru/Prepare/Doc/1035/5/f6b6ea45-8c63-4ce0-8046-f504baab01c2/i/482b4fa9-199c-4230-971e-42206734c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bile.olimpoks.ru/Prepare/Doc/1035/5/f6b6ea45-8c63-4ce0-8046-f504baab01c2/i/482b4fa9-199c-4230-971e-42206734c2a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60" cy="3613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28F234D0" wp14:editId="6EE0CEB9">
            <wp:extent cx="871855" cy="393700"/>
            <wp:effectExtent l="0" t="0" r="4445" b="6350"/>
            <wp:docPr id="389" name="Рисунок 389" descr="https://mobile.olimpoks.ru/Prepare/Doc/1035/5/f6b6ea45-8c63-4ce0-8046-f504baab01c2/i/24386816-5c3c-4c51-82d2-7398909bb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obile.olimpoks.ru/Prepare/Doc/1035/5/f6b6ea45-8c63-4ce0-8046-f504baab01c2/i/24386816-5c3c-4c51-82d2-7398909bb3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1679421" wp14:editId="3DAA98D2">
            <wp:extent cx="840105" cy="372110"/>
            <wp:effectExtent l="0" t="0" r="0" b="8890"/>
            <wp:docPr id="388" name="Рисунок 388" descr="https://mobile.olimpoks.ru/Prepare/Doc/1035/5/f6b6ea45-8c63-4ce0-8046-f504baab01c2/i/c576c28d-8add-45ab-8f55-8a35faf7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bile.olimpoks.ru/Prepare/Doc/1035/5/f6b6ea45-8c63-4ce0-8046-f504baab01c2/i/c576c28d-8add-45ab-8f55-8a35faf7147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105"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54B57A2B" wp14:editId="511CA135">
            <wp:extent cx="723265" cy="403860"/>
            <wp:effectExtent l="0" t="0" r="635" b="0"/>
            <wp:docPr id="387" name="Рисунок 387" descr="https://mobile.olimpoks.ru/Prepare/Doc/1035/5/f6b6ea45-8c63-4ce0-8046-f504baab01c2/i/a027c41e-2d7b-403c-88f6-cabd0b2f9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obile.olimpoks.ru/Prepare/Doc/1035/5/f6b6ea45-8c63-4ce0-8046-f504baab01c2/i/a027c41e-2d7b-403c-88f6-cabd0b2f93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52614312" wp14:editId="7856FB0D">
            <wp:extent cx="861060" cy="361315"/>
            <wp:effectExtent l="0" t="0" r="0" b="635"/>
            <wp:docPr id="386" name="Рисунок 386" descr="https://mobile.olimpoks.ru/Prepare/Doc/1035/5/f6b6ea45-8c63-4ce0-8046-f504baab01c2/i/482b4fa9-199c-4230-971e-42206734c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bile.olimpoks.ru/Prepare/Doc/1035/5/f6b6ea45-8c63-4ce0-8046-f504baab01c2/i/482b4fa9-199c-4230-971e-42206734c2a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60" cy="3613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спад светового потока источников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BEA290B" wp14:editId="213566A3">
            <wp:extent cx="871855" cy="393700"/>
            <wp:effectExtent l="0" t="0" r="4445" b="6350"/>
            <wp:docPr id="385" name="Рисунок 385" descr="https://mobile.olimpoks.ru/Prepare/Doc/1035/5/f6b6ea45-8c63-4ce0-8046-f504baab01c2/i/24386816-5c3c-4c51-82d2-7398909bb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obile.olimpoks.ru/Prepare/Doc/1035/5/f6b6ea45-8c63-4ce0-8046-f504baab01c2/i/24386816-5c3c-4c51-82d2-7398909bb3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85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выход из строя источников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8AF3450" wp14:editId="1476A447">
            <wp:extent cx="840105" cy="372110"/>
            <wp:effectExtent l="0" t="0" r="0" b="8890"/>
            <wp:docPr id="384" name="Рисунок 384" descr="https://mobile.olimpoks.ru/Prepare/Doc/1035/5/f6b6ea45-8c63-4ce0-8046-f504baab01c2/i/c576c28d-8add-45ab-8f55-8a35faf7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obile.olimpoks.ru/Prepare/Doc/1035/5/f6b6ea45-8c63-4ce0-8046-f504baab01c2/i/c576c28d-8add-45ab-8f55-8a35faf7147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105"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загрязнение и невосстанавливаемое изменение отражающих и пропускающих свойств оптических элементов осветительных приборов;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688E8A6" wp14:editId="6D51EC43">
            <wp:extent cx="723265" cy="403860"/>
            <wp:effectExtent l="0" t="0" r="635" b="0"/>
            <wp:docPr id="383" name="Рисунок 383" descr="https://mobile.olimpoks.ru/Prepare/Doc/1035/5/f6b6ea45-8c63-4ce0-8046-f504baab01c2/i/a027c41e-2d7b-403c-88f6-cabd0b2f9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obile.olimpoks.ru/Prepare/Doc/1035/5/f6b6ea45-8c63-4ce0-8046-f504baab01c2/i/a027c41e-2d7b-403c-88f6-cabd0b2f93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загрязнение отражающих поверхностей помещения или сооружения.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коэффициент эксплуатации обратно пропорционален коэффициенту запаса </w:t>
      </w:r>
      <w:r w:rsidRPr="003C0CFF">
        <w:rPr>
          <w:rFonts w:eastAsia="Times New Roman" w:cstheme="minorHAnsi"/>
          <w:noProof/>
          <w:color w:val="000000" w:themeColor="text1"/>
          <w:sz w:val="24"/>
          <w:szCs w:val="24"/>
          <w:lang w:eastAsia="ru-RU"/>
        </w:rPr>
        <w:drawing>
          <wp:inline distT="0" distB="0" distL="0" distR="0" wp14:anchorId="7AE1BCE0" wp14:editId="4117C500">
            <wp:extent cx="403860" cy="393700"/>
            <wp:effectExtent l="0" t="0" r="0" b="6350"/>
            <wp:docPr id="382" name="Рисунок 382" descr="https://mobile.olimpoks.ru/Prepare/Doc/1035/5/f6b6ea45-8c63-4ce0-8046-f504baab01c2/i/3690c0fe-8433-46b0-9427-f51d4acd4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bile.olimpoks.ru/Prepare/Doc/1035/5/f6b6ea45-8c63-4ce0-8046-f504baab01c2/i/3690c0fe-8433-46b0-9427-f51d4acd488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(MF = 1/</w:t>
      </w:r>
      <w:r w:rsidRPr="003C0CFF">
        <w:rPr>
          <w:rFonts w:eastAsia="Times New Roman" w:cstheme="minorHAnsi"/>
          <w:noProof/>
          <w:color w:val="000000" w:themeColor="text1"/>
          <w:sz w:val="24"/>
          <w:szCs w:val="24"/>
          <w:lang w:eastAsia="ru-RU"/>
        </w:rPr>
        <w:drawing>
          <wp:inline distT="0" distB="0" distL="0" distR="0" wp14:anchorId="47ED72EE" wp14:editId="7B5EFDCF">
            <wp:extent cx="403860" cy="393700"/>
            <wp:effectExtent l="0" t="0" r="0" b="6350"/>
            <wp:docPr id="381" name="Рисунок 381" descr="https://mobile.olimpoks.ru/Prepare/Doc/1035/5/f6b6ea45-8c63-4ce0-8046-f504baab01c2/i/3690c0fe-8433-46b0-9427-f51d4acd4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obile.olimpoks.ru/Prepare/Doc/1035/5/f6b6ea45-8c63-4ce0-8046-f504baab01c2/i/3690c0fe-8433-46b0-9427-f51d4acd488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3.37. Локальное архитектурное освещение: освещение части здания или сооружения, а также отдельных архитектурных элементов при отсутствии заливающего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3.37а.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для целей настоящего свода правил здесь отнесены: инвалиды, люди с ограниченными (временно или постоянно) возможностями здоровья, люди с детскими колясками и т.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59.13330.2016, статья 3.21]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3.37а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3.38. Медиафасад: светопропускающая рекламная конструкция, размещаемая непосредственно на поверхности стен зданий, строений и сооружений или на металлокаркасе, повторяющем пластику стены (в случае размещения медиафасада на существующем остеклении здания, строения, сооружения), позволяющая демонстрировать информационные материалы. Размер информационного поля медиафасада определяется размером демонстрируемого изображения.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3.39. Местное освещение: освещение, дополнительное к общему, создаваемое светильниками, концентрирующими световой поток непосредственно на рабочих местах.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3.40. Облачное небо МКО: небо, полностью закрытое облаками, распределение яркости по которому определяется стандартом Международной комиссии по освещению (МКО). Отношение яркости небосвода на высоте </w:t>
      </w:r>
      <w:r w:rsidRPr="003C0CFF">
        <w:rPr>
          <w:rFonts w:eastAsia="Times New Roman" w:cstheme="minorHAnsi"/>
          <w:noProof/>
          <w:color w:val="000000" w:themeColor="text1"/>
          <w:sz w:val="24"/>
          <w:szCs w:val="24"/>
          <w:lang w:eastAsia="ru-RU"/>
        </w:rPr>
        <w:drawing>
          <wp:inline distT="0" distB="0" distL="0" distR="0" wp14:anchorId="063BD6E1" wp14:editId="40AF1FC6">
            <wp:extent cx="329565" cy="436245"/>
            <wp:effectExtent l="0" t="0" r="0" b="1905"/>
            <wp:docPr id="380" name="Рисунок 380" descr="https://mobile.olimpoks.ru/Prepare/Doc/1035/5/f6b6ea45-8c63-4ce0-8046-f504baab01c2/i/f517d140-fe21-487c-8896-1367ffe44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obile.olimpoks.ru/Prepare/Doc/1035/5/f6b6ea45-8c63-4ce0-8046-f504baab01c2/i/f517d140-fe21-487c-8896-1367ffe44e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6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над горизонтом к яркости в зените определяется формулой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962C4F3" wp14:editId="7D2A65D5">
            <wp:extent cx="8197850" cy="2402840"/>
            <wp:effectExtent l="0" t="0" r="0" b="0"/>
            <wp:docPr id="379" name="Рисунок 379" descr="https://mobile.olimpoks.ru/Prepare/Doc/1035/5/f6b6ea45-8c63-4ce0-8046-f504baab01c2/i/c285b1e7-ca19-4273-9f48-e22474715c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obile.olimpoks.ru/Prepare/Doc/1035/5/f6b6ea45-8c63-4ce0-8046-f504baab01c2/i/c285b1e7-ca19-4273-9f48-e22474715c2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97850" cy="240284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(3.8)</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E918820" wp14:editId="10201543">
            <wp:extent cx="499745" cy="605790"/>
            <wp:effectExtent l="0" t="0" r="0" b="3810"/>
            <wp:docPr id="378" name="Рисунок 378" descr="https://mobile.olimpoks.ru/Prepare/Doc/1035/5/f6b6ea45-8c63-4ce0-8046-f504baab01c2/i/c29f6202-9367-4eed-a9bc-5efc416ec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obile.olimpoks.ru/Prepare/Doc/1035/5/f6b6ea45-8c63-4ce0-8046-f504baab01c2/i/c29f6202-9367-4eed-a9bc-5efc416ec62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74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(0°) = 1 (на горизонте).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3.41. Общая равномерность распределения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39DC5274" wp14:editId="5453FEEF">
            <wp:extent cx="499745" cy="382905"/>
            <wp:effectExtent l="0" t="0" r="0" b="0"/>
            <wp:docPr id="377" name="Рисунок 377" descr="https://mobile.olimpoks.ru/Prepare/Doc/1035/5/f6b6ea45-8c63-4ce0-8046-f504baab01c2/i/3ffafd6e-1575-4927-8e8b-224fa10ac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obile.olimpoks.ru/Prepare/Doc/1035/5/f6b6ea45-8c63-4ce0-8046-f504baab01c2/i/3ffafd6e-1575-4927-8e8b-224fa10ac9c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отношение минимального значения яркости дорожного покрытия к среднему:</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5680C03" wp14:editId="73A1AC39">
            <wp:extent cx="499745" cy="382905"/>
            <wp:effectExtent l="0" t="0" r="0" b="0"/>
            <wp:docPr id="376" name="Рисунок 376" descr="https://mobile.olimpoks.ru/Prepare/Doc/1035/5/f6b6ea45-8c63-4ce0-8046-f504baab01c2/i/3ffafd6e-1575-4927-8e8b-224fa10ac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bile.olimpoks.ru/Prepare/Doc/1035/5/f6b6ea45-8c63-4ce0-8046-f504baab01c2/i/3ffafd6e-1575-4927-8e8b-224fa10ac9c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C58FE72" wp14:editId="1D261915">
            <wp:extent cx="1052830" cy="871855"/>
            <wp:effectExtent l="0" t="0" r="0" b="4445"/>
            <wp:docPr id="375" name="Рисунок 375" descr="https://mobile.olimpoks.ru/Prepare/Doc/1035/5/f6b6ea45-8c63-4ce0-8046-f504baab01c2/i/496fe56c-d254-4007-a92a-56ea26c0c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obile.olimpoks.ru/Prepare/Doc/1035/5/f6b6ea45-8c63-4ce0-8046-f504baab01c2/i/496fe56c-d254-4007-a92a-56ea26c0c33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830" cy="8718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599D00E9" wp14:editId="7738D304">
            <wp:extent cx="893445" cy="818515"/>
            <wp:effectExtent l="0" t="0" r="1905" b="635"/>
            <wp:docPr id="374" name="Рисунок 374" descr="https://mobile.olimpoks.ru/Prepare/Doc/1035/5/f6b6ea45-8c63-4ce0-8046-f504baab01c2/i/70f124c2-c7d7-4d4e-addf-239b9559d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obile.olimpoks.ru/Prepare/Doc/1035/5/f6b6ea45-8c63-4ce0-8046-f504baab01c2/i/70f124c2-c7d7-4d4e-addf-239b9559d67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3445" cy="81851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3.42. Общее равномерное искусственное освещение помещений: освещение, при котором светильники размещаются в верхней зоне помещения и создают равномерное распределение освещенности на рабочих местах.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3.43. Общее локализованное искусственное освещение помещений: освещение, при котором светильники размещаются в верхней зоне помещения непосредственно над оборудованием.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3.44. Объединенный показатель дискомфорта UGR, относительные единицы: критерий оценки дискомфортной блескости, вызывающей неприятные ощущения при неравномерном распределении яркостей в поле зрения, определяемый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5A0441A1" wp14:editId="70569D05">
            <wp:extent cx="6071235" cy="1690370"/>
            <wp:effectExtent l="0" t="0" r="5715" b="5080"/>
            <wp:docPr id="373" name="Рисунок 373" descr="https://mobile.olimpoks.ru/Prepare/Doc/1035/5/f6b6ea45-8c63-4ce0-8046-f504baab01c2/i/c32963d4-16e4-4ed8-9e01-edf7b4a59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obile.olimpoks.ru/Prepare/Doc/1035/5/f6b6ea45-8c63-4ce0-8046-f504baab01c2/i/c32963d4-16e4-4ed8-9e01-edf7b4a59d6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1235" cy="16903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(3.9)</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45D2B95C" wp14:editId="401DD1AB">
            <wp:extent cx="520700" cy="690880"/>
            <wp:effectExtent l="0" t="0" r="0" b="0"/>
            <wp:docPr id="372" name="Рисунок 372" descr="https://mobile.olimpoks.ru/Prepare/Doc/1035/5/f6b6ea45-8c63-4ce0-8046-f504baab01c2/i/5d84af39-2bb1-4709-9c61-f926fabe3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obile.olimpoks.ru/Prepare/Doc/1035/5/f6b6ea45-8c63-4ce0-8046-f504baab01c2/i/5d84af39-2bb1-4709-9c61-f926fabe399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 cy="6908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яркость блеского источника,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3015F64" wp14:editId="76B56A19">
            <wp:extent cx="488950" cy="467995"/>
            <wp:effectExtent l="0" t="0" r="6350" b="8255"/>
            <wp:docPr id="371" name="Рисунок 371" descr="https://mobile.olimpoks.ru/Prepare/Doc/1035/5/f6b6ea45-8c63-4ce0-8046-f504baab01c2/i/1aa48b21-82f5-409b-93a0-4bca9d2ec8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obile.olimpoks.ru/Prepare/Doc/1035/5/f6b6ea45-8c63-4ce0-8046-f504baab01c2/i/1aa48b21-82f5-409b-93a0-4bca9d2ec85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950"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угловой размер блеского источника, стерадиан;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8B43B11" wp14:editId="254AC9ED">
            <wp:extent cx="765810" cy="499745"/>
            <wp:effectExtent l="0" t="0" r="0" b="0"/>
            <wp:docPr id="370" name="Рисунок 370" descr="https://mobile.olimpoks.ru/Prepare/Doc/1035/5/f6b6ea45-8c63-4ce0-8046-f504baab01c2/i/ef4a7476-442f-4877-a326-32d115ec5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obile.olimpoks.ru/Prepare/Doc/1035/5/f6b6ea45-8c63-4ce0-8046-f504baab01c2/i/ef4a7476-442f-4877-a326-32d115ec51d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5810"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индекс позиции блеского источника относительно линии зрения;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1315F44" wp14:editId="1E208933">
            <wp:extent cx="499745" cy="605790"/>
            <wp:effectExtent l="0" t="0" r="0" b="3810"/>
            <wp:docPr id="369" name="Рисунок 369" descr="https://mobile.olimpoks.ru/Prepare/Doc/1035/5/f6b6ea45-8c63-4ce0-8046-f504baab01c2/i/c29f6202-9367-4eed-a9bc-5efc416ec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obile.olimpoks.ru/Prepare/Doc/1035/5/f6b6ea45-8c63-4ce0-8046-f504baab01c2/i/c29f6202-9367-4eed-a9bc-5efc416ec62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74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яркость адаптации,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3.45. Объект различения: рассматриваемый предмет, отдельная его часть или дефект, которые требуется различать в процессе работы.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3.46. Освещение зон повышенной опасности: вид эвакуационного освещения для безопасного завершения потенциально опасного рабочего процесса.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3.47. Освещение путей эвакуации: вид эвакуационного освещения для надежного определения и безопасного использования путей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3.48. Освещенность E, лк: отношение светового потока </w:t>
      </w:r>
      <w:r w:rsidRPr="003C0CFF">
        <w:rPr>
          <w:rFonts w:eastAsia="Times New Roman" w:cstheme="minorHAnsi"/>
          <w:noProof/>
          <w:color w:val="000000" w:themeColor="text1"/>
          <w:sz w:val="24"/>
          <w:szCs w:val="24"/>
          <w:lang w:eastAsia="ru-RU"/>
        </w:rPr>
        <w:drawing>
          <wp:inline distT="0" distB="0" distL="0" distR="0" wp14:anchorId="613C26AB" wp14:editId="5BA4505A">
            <wp:extent cx="755015" cy="531495"/>
            <wp:effectExtent l="0" t="0" r="6985" b="1905"/>
            <wp:docPr id="368" name="Рисунок 368" descr="https://mobile.olimpoks.ru/Prepare/Doc/1035/5/f6b6ea45-8c63-4ce0-8046-f504baab01c2/i/a6ee0567-80a0-49f3-b2aa-780e8e06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obile.olimpoks.ru/Prepare/Doc/1035/5/f6b6ea45-8c63-4ce0-8046-f504baab01c2/i/a6ee0567-80a0-49f3-b2aa-780e8e0668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015" cy="5314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падающего на элемент поверхности, содержащий рассматриваемую точку, к площади </w:t>
      </w:r>
      <w:r w:rsidRPr="003C0CFF">
        <w:rPr>
          <w:rFonts w:eastAsia="Times New Roman" w:cstheme="minorHAnsi"/>
          <w:noProof/>
          <w:color w:val="000000" w:themeColor="text1"/>
          <w:sz w:val="24"/>
          <w:szCs w:val="24"/>
          <w:lang w:eastAsia="ru-RU"/>
        </w:rPr>
        <w:drawing>
          <wp:inline distT="0" distB="0" distL="0" distR="0" wp14:anchorId="49AB6B8E" wp14:editId="5049FEC7">
            <wp:extent cx="605790" cy="457200"/>
            <wp:effectExtent l="0" t="0" r="3810" b="0"/>
            <wp:docPr id="367" name="Рисунок 367" descr="https://mobile.olimpoks.ru/Prepare/Doc/1035/5/f6b6ea45-8c63-4ce0-8046-f504baab01c2/i/b8820fbe-7ac8-4a11-a253-8c3ad6ea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obile.olimpoks.ru/Prepare/Doc/1035/5/f6b6ea45-8c63-4ce0-8046-f504baab01c2/i/b8820fbe-7ac8-4a11-a253-8c3ad6ea205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этого элемента:</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1BFEA1D" wp14:editId="7A8541DC">
            <wp:extent cx="2541270" cy="574040"/>
            <wp:effectExtent l="0" t="0" r="0" b="0"/>
            <wp:docPr id="366" name="Рисунок 366" descr="https://mobile.olimpoks.ru/Prepare/Doc/1035/5/f6b6ea45-8c63-4ce0-8046-f504baab01c2/i/e6fcbe2a-4f89-4d3b-a162-e7d255475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obile.olimpoks.ru/Prepare/Doc/1035/5/f6b6ea45-8c63-4ce0-8046-f504baab01c2/i/e6fcbe2a-4f89-4d3b-a162-e7d255475e3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1270" cy="57404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3.49. Относительная площадь световых проемов </w:t>
      </w:r>
      <w:r w:rsidRPr="003C0CFF">
        <w:rPr>
          <w:rFonts w:eastAsia="Times New Roman" w:cstheme="minorHAnsi"/>
          <w:noProof/>
          <w:color w:val="000000" w:themeColor="text1"/>
          <w:sz w:val="24"/>
          <w:szCs w:val="24"/>
          <w:lang w:eastAsia="ru-RU"/>
        </w:rPr>
        <w:drawing>
          <wp:inline distT="0" distB="0" distL="0" distR="0" wp14:anchorId="653C8144" wp14:editId="5D3800B7">
            <wp:extent cx="605790" cy="446405"/>
            <wp:effectExtent l="0" t="0" r="3810" b="0"/>
            <wp:docPr id="365" name="Рисунок 365" descr="https://mobile.olimpoks.ru/Prepare/Doc/1035/5/f6b6ea45-8c63-4ce0-8046-f504baab01c2/i/2635100e-2e45-49a0-abe4-b5d5723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obile.olimpoks.ru/Prepare/Doc/1035/5/f6b6ea45-8c63-4ce0-8046-f504baab01c2/i/2635100e-2e45-49a0-abe4-b5d5723482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88065B7" wp14:editId="00CAF347">
            <wp:extent cx="372110" cy="351155"/>
            <wp:effectExtent l="0" t="0" r="8890" b="0"/>
            <wp:docPr id="364" name="Рисунок 364" descr="https://mobile.olimpoks.ru/Prepare/Doc/1035/5/f6b6ea45-8c63-4ce0-8046-f504baab01c2/i/2ba5b8c6-2fb4-4a89-b7e4-e1e34f267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bile.olimpoks.ru/Prepare/Doc/1035/5/f6b6ea45-8c63-4ce0-8046-f504baab01c2/i/2ba5b8c6-2fb4-4a89-b7e4-e1e34f267d1c.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04E39D73" wp14:editId="2B1BF02A">
            <wp:extent cx="414655" cy="372110"/>
            <wp:effectExtent l="0" t="0" r="4445" b="8890"/>
            <wp:docPr id="363" name="Рисунок 363" descr="https://mobile.olimpoks.ru/Prepare/Doc/1035/5/f6b6ea45-8c63-4ce0-8046-f504baab01c2/i/6bfcff21-f360-48fc-8be8-ee439aaf9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bile.olimpoks.ru/Prepare/Doc/1035/5/f6b6ea45-8c63-4ce0-8046-f504baab01c2/i/6bfcff21-f360-48fc-8be8-ee439aaf9d7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655"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69D940BF" wp14:editId="4E95D6DC">
            <wp:extent cx="372110" cy="351155"/>
            <wp:effectExtent l="0" t="0" r="8890" b="0"/>
            <wp:docPr id="362" name="Рисунок 362" descr="https://mobile.olimpoks.ru/Prepare/Doc/1035/5/f6b6ea45-8c63-4ce0-8046-f504baab01c2/i/2ba5b8c6-2fb4-4a89-b7e4-e1e34f267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obile.olimpoks.ru/Prepare/Doc/1035/5/f6b6ea45-8c63-4ce0-8046-f504baab01c2/i/2ba5b8c6-2fb4-4a89-b7e4-e1e34f267d1c.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отношение площади фонарей или окон к освещаемой площади пола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 Отраженная блескость: характеристика отражения светового потока от рабочей поверхности в направлении глаз работающего, определяющая снижение видимости вследствие чрезмерного увеличения яркости рабочей поверхности и вуалирующего действия, снижающих контраст между объектом и фоном.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3.51. Относительная удельная мощность дорожного освещения </w:t>
      </w:r>
      <w:r w:rsidRPr="003C0CFF">
        <w:rPr>
          <w:rFonts w:eastAsia="Times New Roman" w:cstheme="minorHAnsi"/>
          <w:noProof/>
          <w:color w:val="000000" w:themeColor="text1"/>
          <w:sz w:val="24"/>
          <w:szCs w:val="24"/>
          <w:lang w:eastAsia="ru-RU"/>
        </w:rPr>
        <w:drawing>
          <wp:inline distT="0" distB="0" distL="0" distR="0" wp14:anchorId="656094A1" wp14:editId="4532D51B">
            <wp:extent cx="414655" cy="436245"/>
            <wp:effectExtent l="0" t="0" r="4445" b="1905"/>
            <wp:docPr id="361" name="Рисунок 361" descr="https://mobile.olimpoks.ru/Prepare/Doc/1035/5/f6b6ea45-8c63-4ce0-8046-f504baab01c2/i/881e6005-96eb-4c28-96ec-42cf24c8e9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obile.olimpoks.ru/Prepare/Doc/1035/5/f6b6ea45-8c63-4ce0-8046-f504baab01c2/i/881e6005-96eb-4c28-96ec-42cf24c8e96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Вт/(м²·лк): показатель энергоэффективности освещения участка дороги, определяемый отношением мощности установленного осветительного оборудования к площади участка и средней освещенности.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методика расчета показателя </w:t>
      </w:r>
      <w:r w:rsidRPr="003C0CFF">
        <w:rPr>
          <w:rFonts w:eastAsia="Times New Roman" w:cstheme="minorHAnsi"/>
          <w:noProof/>
          <w:color w:val="000000" w:themeColor="text1"/>
          <w:sz w:val="24"/>
          <w:szCs w:val="24"/>
          <w:lang w:eastAsia="ru-RU"/>
        </w:rPr>
        <w:drawing>
          <wp:inline distT="0" distB="0" distL="0" distR="0" wp14:anchorId="4A2646DF" wp14:editId="3979BF97">
            <wp:extent cx="414655" cy="436245"/>
            <wp:effectExtent l="0" t="0" r="4445" b="1905"/>
            <wp:docPr id="360" name="Рисунок 360" descr="https://mobile.olimpoks.ru/Prepare/Doc/1035/5/f6b6ea45-8c63-4ce0-8046-f504baab01c2/i/881e6005-96eb-4c28-96ec-42cf24c8e9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obile.olimpoks.ru/Prepare/Doc/1035/5/f6b6ea45-8c63-4ce0-8046-f504baab01c2/i/881e6005-96eb-4c28-96ec-42cf24c8e96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приведена в приложении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3.52. Перекресток: транспортный узел, в котором две или более улиц или дорог соединяются или пересекаются в одном уровне.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3.53. Площадь окон </w:t>
      </w:r>
      <w:r w:rsidRPr="003C0CFF">
        <w:rPr>
          <w:rFonts w:eastAsia="Times New Roman" w:cstheme="minorHAnsi"/>
          <w:noProof/>
          <w:color w:val="000000" w:themeColor="text1"/>
          <w:sz w:val="24"/>
          <w:szCs w:val="24"/>
          <w:lang w:eastAsia="ru-RU"/>
        </w:rPr>
        <w:drawing>
          <wp:inline distT="0" distB="0" distL="0" distR="0" wp14:anchorId="0EB7D0E3" wp14:editId="3CD53D73">
            <wp:extent cx="414655" cy="372110"/>
            <wp:effectExtent l="0" t="0" r="4445" b="8890"/>
            <wp:docPr id="359" name="Рисунок 359" descr="https://mobile.olimpoks.ru/Prepare/Doc/1035/5/f6b6ea45-8c63-4ce0-8046-f504baab01c2/i/6bfcff21-f360-48fc-8be8-ee439aaf9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bile.olimpoks.ru/Prepare/Doc/1035/5/f6b6ea45-8c63-4ce0-8046-f504baab01c2/i/6bfcff21-f360-48fc-8be8-ee439aaf9d7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655"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м²: суммарная площадь световых проемов (в свету), находящихся в наружных стенах освещаемого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3.54. Площадь фонарей </w:t>
      </w:r>
      <w:r w:rsidRPr="003C0CFF">
        <w:rPr>
          <w:rFonts w:eastAsia="Times New Roman" w:cstheme="minorHAnsi"/>
          <w:noProof/>
          <w:color w:val="000000" w:themeColor="text1"/>
          <w:sz w:val="24"/>
          <w:szCs w:val="24"/>
          <w:lang w:eastAsia="ru-RU"/>
        </w:rPr>
        <w:drawing>
          <wp:inline distT="0" distB="0" distL="0" distR="0" wp14:anchorId="5BA34C54" wp14:editId="22B40D68">
            <wp:extent cx="605790" cy="446405"/>
            <wp:effectExtent l="0" t="0" r="3810" b="0"/>
            <wp:docPr id="358" name="Рисунок 358" descr="https://mobile.olimpoks.ru/Prepare/Doc/1035/5/f6b6ea45-8c63-4ce0-8046-f504baab01c2/i/2635100e-2e45-49a0-abe4-b5d5723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bile.olimpoks.ru/Prepare/Doc/1035/5/f6b6ea45-8c63-4ce0-8046-f504baab01c2/i/2635100e-2e45-49a0-abe4-b5d5723482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м²: суммарная площадь световых проемов (в свету) всех фонарей, находящихся в покрытии над освещаемым помещением или пролетом.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3.55. Подъездная зона тоннеля: участок дороги вне тоннеля длиной, равной расстоянию безопасного торможения, примыкающий к въездному порталу.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3.56. Полуцилиндрическая освещенность </w:t>
      </w:r>
      <w:r w:rsidRPr="003C0CFF">
        <w:rPr>
          <w:rFonts w:eastAsia="Times New Roman" w:cstheme="minorHAnsi"/>
          <w:noProof/>
          <w:color w:val="000000" w:themeColor="text1"/>
          <w:sz w:val="24"/>
          <w:szCs w:val="24"/>
          <w:lang w:eastAsia="ru-RU"/>
        </w:rPr>
        <w:drawing>
          <wp:inline distT="0" distB="0" distL="0" distR="0" wp14:anchorId="70730EEB" wp14:editId="091039CC">
            <wp:extent cx="638175" cy="414655"/>
            <wp:effectExtent l="0" t="0" r="9525" b="4445"/>
            <wp:docPr id="357" name="Рисунок 357" descr="https://mobile.olimpoks.ru/Prepare/Doc/1035/5/f6b6ea45-8c63-4ce0-8046-f504baab01c2/i/28db3b5d-560a-47c3-bd90-d9299d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obile.olimpoks.ru/Prepare/Doc/1035/5/f6b6ea45-8c63-4ce0-8046-f504baab01c2/i/28db3b5d-560a-47c3-bd90-d9299d1732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146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отношение светового потока, падающего на внешнюю поверхность бесконечно малого полуцилиндра с центром в заданной точке, к площади цилиндрической поверхности этого полуцилиндра.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Если не оговорено противное, то ось полуцилиндра должна располагаться вертикально.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Применительно к утилитарному наружному освещению полуцилиндрическую освещенность используют в качестве критерия оценки различения лиц встречных пешеходов и определяют как среднюю плотность светового потока на цилиндрической поверхности бесконечно малого полуцилиндра, расположенного вертикально на продольной линии улицы на высоте 1,5 м и ориентированного внешней нормалью к плоской боковой поверхности полуцилиндра в направлении преимущественного движения пешеходов.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3.57. Помещение без естественного света: помещение, в котором коэффициент естественной освещенности ниже 0,1 %.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3.58. Помещение с недостаточным естественным светом: помещение, в котором коэффициент естественной освещенности ниже нормируемого.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3.59. Помещение с постоянным пребыванием людей: помещение, в котором люди находятся большую часть (более 50 %) своего рабочего времени в течение суток или более 2 ч непрерывно.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3.60. Пороговая зона тоннеля: участок тоннеля длиной, равной расстоянию безопасного торможения, примыкающий к въездному порталу.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3.61. Пороговое приращение яркости </w:t>
      </w:r>
      <w:r w:rsidRPr="003C0CFF">
        <w:rPr>
          <w:rFonts w:eastAsia="Times New Roman" w:cstheme="minorHAnsi"/>
          <w:noProof/>
          <w:color w:val="000000" w:themeColor="text1"/>
          <w:sz w:val="24"/>
          <w:szCs w:val="24"/>
          <w:lang w:eastAsia="ru-RU"/>
        </w:rPr>
        <w:drawing>
          <wp:inline distT="0" distB="0" distL="0" distR="0" wp14:anchorId="4E85F44A" wp14:editId="03F9A908">
            <wp:extent cx="520700" cy="488950"/>
            <wp:effectExtent l="0" t="0" r="0" b="6350"/>
            <wp:docPr id="356" name="Рисунок 356" descr="https://mobile.olimpoks.ru/Prepare/Doc/1035/5/f6b6ea45-8c63-4ce0-8046-f504baab01c2/i/acafe6b0-6989-42bf-a568-e6d8b2029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bile.olimpoks.ru/Prepare/Doc/1035/5/f6b6ea45-8c63-4ce0-8046-f504baab01c2/i/acafe6b0-6989-42bf-a568-e6d8b202918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критерий, регламентирующий слепящее действие светильников осветительной установки в поле зрения водителя транспортного средства. Характеризует увеличение контраста между объектом и его фоном, при котором видимость объекта при наличии блеского источника света стала бы такой же, как и в его отсутствие. Определяется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BD64BD6" wp14:editId="0727FF80">
            <wp:extent cx="4008755" cy="1488440"/>
            <wp:effectExtent l="0" t="0" r="0" b="0"/>
            <wp:docPr id="355" name="Рисунок 355" descr="https://mobile.olimpoks.ru/Prepare/Doc/1035/5/f6b6ea45-8c63-4ce0-8046-f504baab01c2/i/1bdce323-f4e9-4966-966e-1218e75aad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obile.olimpoks.ru/Prepare/Doc/1035/5/f6b6ea45-8c63-4ce0-8046-f504baab01c2/i/1bdce323-f4e9-4966-966e-1218e75aad6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8755" cy="148844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(3.10)</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(формула 3.10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2481922A" wp14:editId="19D125BC">
            <wp:extent cx="871855" cy="914400"/>
            <wp:effectExtent l="0" t="0" r="4445" b="0"/>
            <wp:docPr id="354" name="Рисунок 354"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средняя яркость дорожного покрытия,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m - коэффициент, равный 1,05 при </w:t>
      </w:r>
      <w:r w:rsidRPr="003C0CFF">
        <w:rPr>
          <w:rFonts w:eastAsia="Times New Roman" w:cstheme="minorHAnsi"/>
          <w:noProof/>
          <w:color w:val="000000" w:themeColor="text1"/>
          <w:sz w:val="24"/>
          <w:szCs w:val="24"/>
          <w:lang w:eastAsia="ru-RU"/>
        </w:rPr>
        <w:drawing>
          <wp:inline distT="0" distB="0" distL="0" distR="0" wp14:anchorId="07A153EC" wp14:editId="531D482B">
            <wp:extent cx="871855" cy="914400"/>
            <wp:effectExtent l="0" t="0" r="4445" b="0"/>
            <wp:docPr id="353" name="Рисунок 353"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&gt; 5 кд/м² и 0,8 при </w:t>
      </w:r>
      <w:r w:rsidRPr="003C0CFF">
        <w:rPr>
          <w:rFonts w:eastAsia="Times New Roman" w:cstheme="minorHAnsi"/>
          <w:noProof/>
          <w:color w:val="000000" w:themeColor="text1"/>
          <w:sz w:val="24"/>
          <w:szCs w:val="24"/>
          <w:lang w:eastAsia="ru-RU"/>
        </w:rPr>
        <w:drawing>
          <wp:inline distT="0" distB="0" distL="0" distR="0" wp14:anchorId="256685BF" wp14:editId="6925A7FB">
            <wp:extent cx="871855" cy="914400"/>
            <wp:effectExtent l="0" t="0" r="4445" b="0"/>
            <wp:docPr id="352" name="Рисунок 352"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5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(абзац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k - множитель, равный 950 при </w:t>
      </w:r>
      <w:r w:rsidRPr="003C0CFF">
        <w:rPr>
          <w:rFonts w:eastAsia="Times New Roman" w:cstheme="minorHAnsi"/>
          <w:noProof/>
          <w:color w:val="000000" w:themeColor="text1"/>
          <w:sz w:val="24"/>
          <w:szCs w:val="24"/>
          <w:lang w:eastAsia="ru-RU"/>
        </w:rPr>
        <w:drawing>
          <wp:inline distT="0" distB="0" distL="0" distR="0" wp14:anchorId="64AA3FD8" wp14:editId="72601E61">
            <wp:extent cx="871855" cy="914400"/>
            <wp:effectExtent l="0" t="0" r="4445" b="0"/>
            <wp:docPr id="351" name="Рисунок 351"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&gt; 5 кд/м² и 650 при </w:t>
      </w:r>
      <w:r w:rsidRPr="003C0CFF">
        <w:rPr>
          <w:rFonts w:eastAsia="Times New Roman" w:cstheme="minorHAnsi"/>
          <w:noProof/>
          <w:color w:val="000000" w:themeColor="text1"/>
          <w:sz w:val="24"/>
          <w:szCs w:val="24"/>
          <w:lang w:eastAsia="ru-RU"/>
        </w:rPr>
        <w:drawing>
          <wp:inline distT="0" distB="0" distL="0" distR="0" wp14:anchorId="6C7A5211" wp14:editId="2BAB467F">
            <wp:extent cx="871855" cy="914400"/>
            <wp:effectExtent l="0" t="0" r="4445" b="0"/>
            <wp:docPr id="350" name="Рисунок 350"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5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4BC3466" wp14:editId="23332B16">
            <wp:extent cx="733425" cy="690880"/>
            <wp:effectExtent l="0" t="0" r="9525" b="0"/>
            <wp:docPr id="349" name="Рисунок 349" descr="https://mobile.olimpoks.ru/Prepare/Doc/1035/5/f6b6ea45-8c63-4ce0-8046-f504baab01c2/i/ca7cc47f-f3e7-400a-9902-cc45dec738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obile.olimpoks.ru/Prepare/Doc/1035/5/f6b6ea45-8c63-4ce0-8046-f504baab01c2/i/ca7cc47f-f3e7-400a-9902-cc45dec738cf.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 cy="6908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вертикальная освещенность на глазу водителя от </w:t>
      </w:r>
      <w:r w:rsidRPr="003C0CFF">
        <w:rPr>
          <w:rFonts w:eastAsia="Times New Roman" w:cstheme="minorHAnsi"/>
          <w:noProof/>
          <w:color w:val="000000" w:themeColor="text1"/>
          <w:sz w:val="24"/>
          <w:szCs w:val="24"/>
          <w:lang w:eastAsia="ru-RU"/>
        </w:rPr>
        <w:drawing>
          <wp:inline distT="0" distB="0" distL="0" distR="0" wp14:anchorId="7D08B265" wp14:editId="51B0D0DD">
            <wp:extent cx="308610" cy="488950"/>
            <wp:effectExtent l="0" t="0" r="0" b="6350"/>
            <wp:docPr id="348" name="Рисунок 348"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светильника,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7499803" wp14:editId="2D5969E2">
            <wp:extent cx="520700" cy="616585"/>
            <wp:effectExtent l="0" t="0" r="0" b="0"/>
            <wp:docPr id="347" name="Рисунок 347" descr="https://mobile.olimpoks.ru/Prepare/Doc/1035/5/f6b6ea45-8c63-4ce0-8046-f504baab01c2/i/b8fa185b-d206-42d7-a617-eedcf37f1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obile.olimpoks.ru/Prepare/Doc/1035/5/f6b6ea45-8c63-4ce0-8046-f504baab01c2/i/b8fa185b-d206-42d7-a617-eedcf37f140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700" cy="61658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угол между направлением на </w:t>
      </w:r>
      <w:r w:rsidRPr="003C0CFF">
        <w:rPr>
          <w:rFonts w:eastAsia="Times New Roman" w:cstheme="minorHAnsi"/>
          <w:noProof/>
          <w:color w:val="000000" w:themeColor="text1"/>
          <w:sz w:val="24"/>
          <w:szCs w:val="24"/>
          <w:lang w:eastAsia="ru-RU"/>
        </w:rPr>
        <w:drawing>
          <wp:inline distT="0" distB="0" distL="0" distR="0" wp14:anchorId="5A3FBED1" wp14:editId="5A884F36">
            <wp:extent cx="308610" cy="488950"/>
            <wp:effectExtent l="0" t="0" r="0" b="6350"/>
            <wp:docPr id="346" name="Рисунок 346"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-й светильник и линией зрения, град;</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n - число светильников, попадающих в поле зрения водителя в пределах интервала угла </w:t>
      </w:r>
      <w:r w:rsidRPr="003C0CFF">
        <w:rPr>
          <w:rFonts w:eastAsia="Times New Roman" w:cstheme="minorHAnsi"/>
          <w:noProof/>
          <w:color w:val="000000" w:themeColor="text1"/>
          <w:sz w:val="24"/>
          <w:szCs w:val="24"/>
          <w:lang w:eastAsia="ru-RU"/>
        </w:rPr>
        <w:drawing>
          <wp:inline distT="0" distB="0" distL="0" distR="0" wp14:anchorId="3A53AB0D" wp14:editId="36D5E2CC">
            <wp:extent cx="361315" cy="520700"/>
            <wp:effectExtent l="0" t="0" r="635" b="0"/>
            <wp:docPr id="345" name="Рисунок 345" descr="https://mobile.olimpoks.ru/Prepare/Doc/1035/5/f6b6ea45-8c63-4ce0-8046-f504baab01c2/i/1b5e0421-ab10-4c8e-bd25-bd0fa7749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obile.olimpoks.ru/Prepare/Doc/1035/5/f6b6ea45-8c63-4ce0-8046-f504baab01c2/i/1b5e0421-ab10-4c8e-bd25-bd0fa7749a5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315" cy="520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(2° ˂ </w:t>
      </w:r>
      <w:r w:rsidRPr="003C0CFF">
        <w:rPr>
          <w:rFonts w:eastAsia="Times New Roman" w:cstheme="minorHAnsi"/>
          <w:noProof/>
          <w:color w:val="000000" w:themeColor="text1"/>
          <w:sz w:val="24"/>
          <w:szCs w:val="24"/>
          <w:lang w:eastAsia="ru-RU"/>
        </w:rPr>
        <w:drawing>
          <wp:inline distT="0" distB="0" distL="0" distR="0" wp14:anchorId="466A741E" wp14:editId="7CF56BBA">
            <wp:extent cx="361315" cy="520700"/>
            <wp:effectExtent l="0" t="0" r="635" b="0"/>
            <wp:docPr id="344" name="Рисунок 344" descr="https://mobile.olimpoks.ru/Prepare/Doc/1035/5/f6b6ea45-8c63-4ce0-8046-f504baab01c2/i/1b5e0421-ab10-4c8e-bd25-bd0fa7749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obile.olimpoks.ru/Prepare/Doc/1035/5/f6b6ea45-8c63-4ce0-8046-f504baab01c2/i/1b5e0421-ab10-4c8e-bd25-bd0fa7749a5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315" cy="520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20°).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3.62. Предельная равномерность распределения освещенности (яркости) </w:t>
      </w:r>
      <w:r w:rsidRPr="003C0CFF">
        <w:rPr>
          <w:rFonts w:eastAsia="Times New Roman" w:cstheme="minorHAnsi"/>
          <w:noProof/>
          <w:color w:val="000000" w:themeColor="text1"/>
          <w:sz w:val="24"/>
          <w:szCs w:val="24"/>
          <w:lang w:eastAsia="ru-RU"/>
        </w:rPr>
        <w:drawing>
          <wp:inline distT="0" distB="0" distL="0" distR="0" wp14:anchorId="6E32ADB0" wp14:editId="293E212A">
            <wp:extent cx="403860" cy="372110"/>
            <wp:effectExtent l="0" t="0" r="0" b="8890"/>
            <wp:docPr id="343" name="Рисунок 343" descr="https://mobile.olimpoks.ru/Prepare/Doc/1035/5/f6b6ea45-8c63-4ce0-8046-f504baab01c2/i/f18a6e26-fb29-4205-83bb-ad16ed2a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bile.olimpoks.ru/Prepare/Doc/1035/5/f6b6ea45-8c63-4ce0-8046-f504baab01c2/i/f18a6e26-fb29-4205-83bb-ad16ed2ad18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отношение минимальной освещенности (яркости) к максимальной: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F8B1535" wp14:editId="25B98100">
            <wp:extent cx="403860" cy="372110"/>
            <wp:effectExtent l="0" t="0" r="0" b="8890"/>
            <wp:docPr id="342" name="Рисунок 342" descr="https://mobile.olimpoks.ru/Prepare/Doc/1035/5/f6b6ea45-8c63-4ce0-8046-f504baab01c2/i/f18a6e26-fb29-4205-83bb-ad16ed2a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obile.olimpoks.ru/Prepare/Doc/1035/5/f6b6ea45-8c63-4ce0-8046-f504baab01c2/i/f18a6e26-fb29-4205-83bb-ad16ed2ad18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5896A24F" wp14:editId="25DD8B37">
            <wp:extent cx="1073785" cy="659130"/>
            <wp:effectExtent l="0" t="0" r="0" b="7620"/>
            <wp:docPr id="341" name="Рисунок 341" descr="https://mobile.olimpoks.ru/Prepare/Doc/1035/5/f6b6ea45-8c63-4ce0-8046-f504baab01c2/i/85795a9f-0b20-4f48-bf44-898e27e3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obile.olimpoks.ru/Prepare/Doc/1035/5/f6b6ea45-8c63-4ce0-8046-f504baab01c2/i/85795a9f-0b20-4f48-bf44-898e27e3c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3F3280A4" wp14:editId="0F7DEE3F">
            <wp:extent cx="1169670" cy="669925"/>
            <wp:effectExtent l="0" t="0" r="0" b="0"/>
            <wp:docPr id="340" name="Рисунок 340" descr="https://mobile.olimpoks.ru/Prepare/Doc/1035/5/f6b6ea45-8c63-4ce0-8046-f504baab01c2/i/8d02c26f-1e8f-4c5a-a5e9-93daea924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obile.olimpoks.ru/Prepare/Doc/1035/5/f6b6ea45-8c63-4ce0-8046-f504baab01c2/i/8d02c26f-1e8f-4c5a-a5e9-93daea924a9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6699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6D29921E" wp14:editId="6ED781AE">
            <wp:extent cx="403860" cy="372110"/>
            <wp:effectExtent l="0" t="0" r="0" b="8890"/>
            <wp:docPr id="339" name="Рисунок 339" descr="https://mobile.olimpoks.ru/Prepare/Doc/1035/5/f6b6ea45-8c63-4ce0-8046-f504baab01c2/i/f18a6e26-fb29-4205-83bb-ad16ed2a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obile.olimpoks.ru/Prepare/Doc/1035/5/f6b6ea45-8c63-4ce0-8046-f504baab01c2/i/f18a6e26-fb29-4205-83bb-ad16ed2ad18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5C96E8EB" wp14:editId="24727130">
            <wp:extent cx="1105535" cy="765810"/>
            <wp:effectExtent l="0" t="0" r="0" b="0"/>
            <wp:docPr id="338" name="Рисунок 338" descr="https://mobile.olimpoks.ru/Prepare/Doc/1035/5/f6b6ea45-8c63-4ce0-8046-f504baab01c2/i/512baf26-646c-40e7-b7b3-e22b3c136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obile.olimpoks.ru/Prepare/Doc/1035/5/f6b6ea45-8c63-4ce0-8046-f504baab01c2/i/512baf26-646c-40e7-b7b3-e22b3c136ce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5535"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556D14E7" wp14:editId="54C7D349">
            <wp:extent cx="1180465" cy="733425"/>
            <wp:effectExtent l="0" t="0" r="635" b="9525"/>
            <wp:docPr id="337" name="Рисунок 337" descr="https://mobile.olimpoks.ru/Prepare/Doc/1035/5/f6b6ea45-8c63-4ce0-8046-f504baab01c2/i/6a717431-dd2b-4b59-b2ed-52c9485db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obile.olimpoks.ru/Prepare/Doc/1035/5/f6b6ea45-8c63-4ce0-8046-f504baab01c2/i/6a717431-dd2b-4b59-b2ed-52c9485dbdb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465" cy="7334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3.63. Продольная равномерность распределения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11016A8B" wp14:editId="7E6113DC">
            <wp:extent cx="372110" cy="372110"/>
            <wp:effectExtent l="0" t="0" r="8890" b="8890"/>
            <wp:docPr id="336" name="Рисунок 336"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отношение минимального значения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6D43D60E" wp14:editId="5E77D018">
            <wp:extent cx="1105535" cy="765810"/>
            <wp:effectExtent l="0" t="0" r="0" b="0"/>
            <wp:docPr id="335" name="Рисунок 335" descr="https://mobile.olimpoks.ru/Prepare/Doc/1035/5/f6b6ea45-8c63-4ce0-8046-f504baab01c2/i/512baf26-646c-40e7-b7b3-e22b3c136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obile.olimpoks.ru/Prepare/Doc/1035/5/f6b6ea45-8c63-4ce0-8046-f504baab01c2/i/512baf26-646c-40e7-b7b3-e22b3c136ce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5535"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 максимальному его значению </w:t>
      </w:r>
      <w:r w:rsidRPr="003C0CFF">
        <w:rPr>
          <w:rFonts w:eastAsia="Times New Roman" w:cstheme="minorHAnsi"/>
          <w:noProof/>
          <w:color w:val="000000" w:themeColor="text1"/>
          <w:sz w:val="24"/>
          <w:szCs w:val="24"/>
          <w:lang w:eastAsia="ru-RU"/>
        </w:rPr>
        <w:drawing>
          <wp:inline distT="0" distB="0" distL="0" distR="0" wp14:anchorId="3577100C" wp14:editId="33AF6258">
            <wp:extent cx="1180465" cy="733425"/>
            <wp:effectExtent l="0" t="0" r="635" b="9525"/>
            <wp:docPr id="334" name="Рисунок 334" descr="https://mobile.olimpoks.ru/Prepare/Doc/1035/5/f6b6ea45-8c63-4ce0-8046-f504baab01c2/i/6a717431-dd2b-4b59-b2ed-52c9485db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obile.olimpoks.ru/Prepare/Doc/1035/5/f6b6ea45-8c63-4ce0-8046-f504baab01c2/i/6a717431-dd2b-4b59-b2ed-52c9485dbdb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465" cy="7334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по оси полосы движения: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A5C9678" wp14:editId="7D0564E3">
            <wp:extent cx="372110" cy="372110"/>
            <wp:effectExtent l="0" t="0" r="8890" b="8890"/>
            <wp:docPr id="333" name="Рисунок 333"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52FC5CDD" wp14:editId="368362A0">
            <wp:extent cx="1105535" cy="765810"/>
            <wp:effectExtent l="0" t="0" r="0" b="0"/>
            <wp:docPr id="332" name="Рисунок 332" descr="https://mobile.olimpoks.ru/Prepare/Doc/1035/5/f6b6ea45-8c63-4ce0-8046-f504baab01c2/i/512baf26-646c-40e7-b7b3-e22b3c136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obile.olimpoks.ru/Prepare/Doc/1035/5/f6b6ea45-8c63-4ce0-8046-f504baab01c2/i/512baf26-646c-40e7-b7b3-e22b3c136ce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5535"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696B73E2" wp14:editId="5A49842F">
            <wp:extent cx="1180465" cy="733425"/>
            <wp:effectExtent l="0" t="0" r="635" b="9525"/>
            <wp:docPr id="331" name="Рисунок 331" descr="https://mobile.olimpoks.ru/Prepare/Doc/1035/5/f6b6ea45-8c63-4ce0-8046-f504baab01c2/i/6a717431-dd2b-4b59-b2ed-52c9485db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obile.olimpoks.ru/Prepare/Doc/1035/5/f6b6ea45-8c63-4ce0-8046-f504baab01c2/i/6a717431-dd2b-4b59-b2ed-52c9485dbdb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465" cy="7334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3.64. Проезд: территория, предназначенная для движения как транспорта, так и пешеходов.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3.65. Пути эвакуации: маршрут для выхода людей из опасной зоны в аварийной ситуации. Начинается от места пребывания людей и заканчивается в безопасной зоне.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3.66. Рабочая поверхность: поверхность, на которой проводится работа, нормируется и измеряется освещенность.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3.67. Рабочее освещение: освещение, обеспечивающее нормируемые световые условия (освещенность, качество освещения) в помещениях и местах производства работ вне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3.68. Равномерность естественного освещения: отношение минимального значения к среднему значению КЕО в пределах характерного разреза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3.69. Равномерность распределения освещенности (яркости) </w:t>
      </w:r>
      <w:r w:rsidRPr="003C0CFF">
        <w:rPr>
          <w:rFonts w:eastAsia="Times New Roman" w:cstheme="minorHAnsi"/>
          <w:noProof/>
          <w:color w:val="000000" w:themeColor="text1"/>
          <w:sz w:val="24"/>
          <w:szCs w:val="24"/>
          <w:lang w:eastAsia="ru-RU"/>
        </w:rPr>
        <w:drawing>
          <wp:inline distT="0" distB="0" distL="0" distR="0" wp14:anchorId="5160EC2B" wp14:editId="0E511972">
            <wp:extent cx="403860" cy="351155"/>
            <wp:effectExtent l="0" t="0" r="0" b="0"/>
            <wp:docPr id="330" name="Рисунок 330" descr="https://mobile.olimpoks.ru/Prepare/Doc/1035/5/f6b6ea45-8c63-4ce0-8046-f504baab01c2/i/188f3627-50b8-4ae8-a0ca-1e79bc21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obile.olimpoks.ru/Prepare/Doc/1035/5/f6b6ea45-8c63-4ce0-8046-f504baab01c2/i/188f3627-50b8-4ae8-a0ca-1e79bc21136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86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отношение минимального значения освещенности (яркости) к среднему значению освещенности (яркости):</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849EC80" wp14:editId="2702CC49">
            <wp:extent cx="403860" cy="351155"/>
            <wp:effectExtent l="0" t="0" r="0" b="0"/>
            <wp:docPr id="329" name="Рисунок 329" descr="https://mobile.olimpoks.ru/Prepare/Doc/1035/5/f6b6ea45-8c63-4ce0-8046-f504baab01c2/i/188f3627-50b8-4ae8-a0ca-1e79bc21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obile.olimpoks.ru/Prepare/Doc/1035/5/f6b6ea45-8c63-4ce0-8046-f504baab01c2/i/188f3627-50b8-4ae8-a0ca-1e79bc21136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86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3163C192" wp14:editId="5B05C897">
            <wp:extent cx="1073785" cy="659130"/>
            <wp:effectExtent l="0" t="0" r="0" b="7620"/>
            <wp:docPr id="328" name="Рисунок 328" descr="https://mobile.olimpoks.ru/Prepare/Doc/1035/5/f6b6ea45-8c63-4ce0-8046-f504baab01c2/i/85795a9f-0b20-4f48-bf44-898e27e3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obile.olimpoks.ru/Prepare/Doc/1035/5/f6b6ea45-8c63-4ce0-8046-f504baab01c2/i/85795a9f-0b20-4f48-bf44-898e27e3c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07ED3ECC" wp14:editId="338EC7D7">
            <wp:extent cx="648335" cy="605790"/>
            <wp:effectExtent l="0" t="0" r="0" b="3810"/>
            <wp:docPr id="327" name="Рисунок 327"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079551A2" wp14:editId="0669751E">
            <wp:extent cx="403860" cy="351155"/>
            <wp:effectExtent l="0" t="0" r="0" b="0"/>
            <wp:docPr id="326" name="Рисунок 326" descr="https://mobile.olimpoks.ru/Prepare/Doc/1035/5/f6b6ea45-8c63-4ce0-8046-f504baab01c2/i/188f3627-50b8-4ae8-a0ca-1e79bc21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obile.olimpoks.ru/Prepare/Doc/1035/5/f6b6ea45-8c63-4ce0-8046-f504baab01c2/i/188f3627-50b8-4ae8-a0ca-1e79bc21136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86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6BEBB65" wp14:editId="2E27CDB6">
            <wp:extent cx="1105535" cy="765810"/>
            <wp:effectExtent l="0" t="0" r="0" b="0"/>
            <wp:docPr id="325" name="Рисунок 325" descr="https://mobile.olimpoks.ru/Prepare/Doc/1035/5/f6b6ea45-8c63-4ce0-8046-f504baab01c2/i/512baf26-646c-40e7-b7b3-e22b3c136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obile.olimpoks.ru/Prepare/Doc/1035/5/f6b6ea45-8c63-4ce0-8046-f504baab01c2/i/512baf26-646c-40e7-b7b3-e22b3c136ce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5535"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80B858D" wp14:editId="7D0F422B">
            <wp:extent cx="871855" cy="914400"/>
            <wp:effectExtent l="0" t="0" r="4445" b="0"/>
            <wp:docPr id="324" name="Рисунок 324"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3.70. Развязка: Пересечение дорог в разных уровнях со съездами для перехода транспортных средств с одной дороги на другую.</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3.71. Расстояние безопасного торможения (РБТ), м: минимальное расстояние, требуемое для надежного приведения транспортного средства, движущегося с расчетной скоростью, в состояние полной остановки.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определяется суммарным временем реагирования водителя на появившееся препятствие для принятия решения и торможения транспортного средства.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3.72. Расчетная скорость движения: максимальная скорость движения одиночного автомобиля, принятая при проектировании дороги.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3.73. Расчетное значение КЕО </w:t>
      </w:r>
      <w:r w:rsidRPr="003C0CFF">
        <w:rPr>
          <w:rFonts w:eastAsia="Times New Roman" w:cstheme="minorHAnsi"/>
          <w:noProof/>
          <w:color w:val="000000" w:themeColor="text1"/>
          <w:sz w:val="24"/>
          <w:szCs w:val="24"/>
          <w:lang w:eastAsia="ru-RU"/>
        </w:rPr>
        <w:drawing>
          <wp:inline distT="0" distB="0" distL="0" distR="0" wp14:anchorId="4D6A648E" wp14:editId="05A07C06">
            <wp:extent cx="382905" cy="340360"/>
            <wp:effectExtent l="0" t="0" r="0" b="2540"/>
            <wp:docPr id="323" name="Рисунок 323" descr="https://mobile.olimpoks.ru/Prepare/Doc/1035/5/f6b6ea45-8c63-4ce0-8046-f504baab01c2/i/d4398194-8e00-4cca-85c4-e31a67048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obile.olimpoks.ru/Prepare/Doc/1035/5/f6b6ea45-8c63-4ce0-8046-f504baab01c2/i/d4398194-8e00-4cca-85c4-e31a6704840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403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значение, полученное расчетным путем при оценке естественного или совмещенного освещения помещений: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при боковом освещении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78C29CE3" wp14:editId="5D099ED5">
            <wp:extent cx="8792845" cy="1775460"/>
            <wp:effectExtent l="0" t="0" r="8255" b="0"/>
            <wp:docPr id="322" name="Рисунок 322" descr="https://mobile.olimpoks.ru/Prepare/Doc/1035/5/f6b6ea45-8c63-4ce0-8046-f504baab01c2/i/8f2edc6a-11b2-408d-a352-389a510b5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obile.olimpoks.ru/Prepare/Doc/1035/5/f6b6ea45-8c63-4ce0-8046-f504baab01c2/i/8f2edc6a-11b2-408d-a352-389a510b5e9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92845" cy="17754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при верхнем освещении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51F40A5" wp14:editId="2AFFF008">
            <wp:extent cx="8368030" cy="1499235"/>
            <wp:effectExtent l="0" t="0" r="0" b="5715"/>
            <wp:docPr id="321" name="Рисунок 321" descr="https://mobile.olimpoks.ru/Prepare/Doc/1035/5/f6b6ea45-8c63-4ce0-8046-f504baab01c2/i/48459fb2-7902-4f00-9970-70bfade97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obile.olimpoks.ru/Prepare/Doc/1035/5/f6b6ea45-8c63-4ce0-8046-f504baab01c2/i/48459fb2-7902-4f00-9970-70bfade97aa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68030" cy="14992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(формула 3.12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при комбинированном (верхнем и боковом) освещении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7A82093" wp14:editId="47F66DAF">
            <wp:extent cx="2445385" cy="733425"/>
            <wp:effectExtent l="0" t="0" r="0" b="9525"/>
            <wp:docPr id="320" name="Рисунок 320" descr="https://mobile.olimpoks.ru/Prepare/Doc/1035/5/f6b6ea45-8c63-4ce0-8046-f504baab01c2/i/4a8683bc-4cd1-4613-9ef0-803db81ef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obile.olimpoks.ru/Prepare/Doc/1035/5/f6b6ea45-8c63-4ce0-8046-f504baab01c2/i/4a8683bc-4cd1-4613-9ef0-803db81ef17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5385" cy="7334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53DABAF3" wp14:editId="0942D718">
            <wp:extent cx="871855" cy="914400"/>
            <wp:effectExtent l="0" t="0" r="4445" b="0"/>
            <wp:docPr id="319" name="Рисунок 319"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число участков небосвода, видимых через световой проем из расчетной точки;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64426CE3" wp14:editId="63583101">
            <wp:extent cx="563245" cy="499745"/>
            <wp:effectExtent l="0" t="0" r="8255" b="0"/>
            <wp:docPr id="318" name="Рисунок 318" descr="https://mobile.olimpoks.ru/Prepare/Doc/1035/5/f6b6ea45-8c63-4ce0-8046-f504baab01c2/i/5a0f9c35-9104-4213-b9d9-73c12326a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obile.olimpoks.ru/Prepare/Doc/1035/5/f6b6ea45-8c63-4ce0-8046-f504baab01c2/i/5a0f9c35-9104-4213-b9d9-73c12326a1e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245"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геометрический КЕО в расчетной точке при боковом освещении, учитывающий прямой свет от </w:t>
      </w:r>
      <w:r w:rsidRPr="003C0CFF">
        <w:rPr>
          <w:rFonts w:eastAsia="Times New Roman" w:cstheme="minorHAnsi"/>
          <w:noProof/>
          <w:color w:val="000000" w:themeColor="text1"/>
          <w:sz w:val="24"/>
          <w:szCs w:val="24"/>
          <w:lang w:eastAsia="ru-RU"/>
        </w:rPr>
        <w:drawing>
          <wp:inline distT="0" distB="0" distL="0" distR="0" wp14:anchorId="495CECD2" wp14:editId="0CF61EFE">
            <wp:extent cx="308610" cy="488950"/>
            <wp:effectExtent l="0" t="0" r="0" b="6350"/>
            <wp:docPr id="317" name="Рисунок 317"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участка неба;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90F9C90" wp14:editId="46F6132F">
            <wp:extent cx="690880" cy="638175"/>
            <wp:effectExtent l="0" t="0" r="0" b="9525"/>
            <wp:docPr id="316" name="Рисунок 316" descr="https://mobile.olimpoks.ru/Prepare/Doc/1035/5/f6b6ea45-8c63-4ce0-8046-f504baab01c2/i/c41cc97d-2dc7-46f7-821a-d1a209691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obile.olimpoks.ru/Prepare/Doc/1035/5/f6b6ea45-8c63-4ce0-8046-f504baab01c2/i/c41cc97d-2dc7-46f7-821a-d1a209691dd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светового климата, принимают по таблице 5.1;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94AC7DD" wp14:editId="74E268A9">
            <wp:extent cx="425450" cy="499745"/>
            <wp:effectExtent l="0" t="0" r="0" b="0"/>
            <wp:docPr id="315" name="Рисунок 315" descr="https://mobile.olimpoks.ru/Prepare/Doc/1035/5/f6b6ea45-8c63-4ce0-8046-f504baab01c2/i/87e3aa34-5196-4dc0-90cd-916d9301c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obile.olimpoks.ru/Prepare/Doc/1035/5/f6b6ea45-8c63-4ce0-8046-f504baab01c2/i/87e3aa34-5196-4dc0-90cd-916d9301c7e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5450"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неравномерности яркости </w:t>
      </w:r>
      <w:r w:rsidRPr="003C0CFF">
        <w:rPr>
          <w:rFonts w:eastAsia="Times New Roman" w:cstheme="minorHAnsi"/>
          <w:noProof/>
          <w:color w:val="000000" w:themeColor="text1"/>
          <w:sz w:val="24"/>
          <w:szCs w:val="24"/>
          <w:lang w:eastAsia="ru-RU"/>
        </w:rPr>
        <w:drawing>
          <wp:inline distT="0" distB="0" distL="0" distR="0" wp14:anchorId="2CD61382" wp14:editId="2BB71C4C">
            <wp:extent cx="308610" cy="488950"/>
            <wp:effectExtent l="0" t="0" r="0" b="6350"/>
            <wp:docPr id="314" name="Рисунок 314"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участка облачного неба МКО;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M - число участков фасадов зданий противостоящей застройки, видимых через световой проем из расчетной точки;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AC560AF" wp14:editId="711AE194">
            <wp:extent cx="690880" cy="542290"/>
            <wp:effectExtent l="0" t="0" r="0" b="0"/>
            <wp:docPr id="313" name="Рисунок 313" descr="https://mobile.olimpoks.ru/Prepare/Doc/1035/5/f6b6ea45-8c63-4ce0-8046-f504baab01c2/i/78c06807-8e3b-4751-a6e8-89a8ce8f2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obile.olimpoks.ru/Prepare/Doc/1035/5/f6b6ea45-8c63-4ce0-8046-f504baab01c2/i/78c06807-8e3b-4751-a6e8-89a8ce8f2a9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0880" cy="5422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геометрический КЕО в расчетной точке при боковом освещении, учитывающий свет, отраженный от </w:t>
      </w:r>
      <w:r w:rsidRPr="003C0CFF">
        <w:rPr>
          <w:rFonts w:eastAsia="Times New Roman" w:cstheme="minorHAnsi"/>
          <w:noProof/>
          <w:color w:val="000000" w:themeColor="text1"/>
          <w:sz w:val="24"/>
          <w:szCs w:val="24"/>
          <w:lang w:eastAsia="ru-RU"/>
        </w:rPr>
        <w:drawing>
          <wp:inline distT="0" distB="0" distL="0" distR="0" wp14:anchorId="2F4CD9F6" wp14:editId="32527B20">
            <wp:extent cx="361315" cy="393700"/>
            <wp:effectExtent l="0" t="0" r="635" b="6350"/>
            <wp:docPr id="312" name="Рисунок 312" descr="https://mobile.olimpoks.ru/Prepare/Doc/1035/5/f6b6ea45-8c63-4ce0-8046-f504baab01c2/i/83d015ac-6d30-4dbe-82b6-c20fa1ebc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obile.olimpoks.ru/Prepare/Doc/1035/5/f6b6ea45-8c63-4ce0-8046-f504baab01c2/i/83d015ac-6d30-4dbe-82b6-c20fa1ebcf1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31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участка фасадов зданий противостоящей застройки;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14A3C6A" wp14:editId="37FC746B">
            <wp:extent cx="542290" cy="659130"/>
            <wp:effectExtent l="0" t="0" r="0" b="7620"/>
            <wp:docPr id="311" name="Рисунок 311" descr="https://mobile.olimpoks.ru/Prepare/Doc/1035/5/f6b6ea45-8c63-4ce0-8046-f504baab01c2/i/773e3906-0eca-4294-b89c-426ce19a5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obile.olimpoks.ru/Prepare/Doc/1035/5/f6b6ea45-8c63-4ce0-8046-f504baab01c2/i/773e3906-0eca-4294-b89c-426ce19a549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290"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средняя относительная яркость </w:t>
      </w:r>
      <w:r w:rsidRPr="003C0CFF">
        <w:rPr>
          <w:rFonts w:eastAsia="Times New Roman" w:cstheme="minorHAnsi"/>
          <w:noProof/>
          <w:color w:val="000000" w:themeColor="text1"/>
          <w:sz w:val="24"/>
          <w:szCs w:val="24"/>
          <w:lang w:eastAsia="ru-RU"/>
        </w:rPr>
        <w:drawing>
          <wp:inline distT="0" distB="0" distL="0" distR="0" wp14:anchorId="6B0AF267" wp14:editId="1E0248D7">
            <wp:extent cx="361315" cy="393700"/>
            <wp:effectExtent l="0" t="0" r="635" b="6350"/>
            <wp:docPr id="310" name="Рисунок 310" descr="https://mobile.olimpoks.ru/Prepare/Doc/1035/5/f6b6ea45-8c63-4ce0-8046-f504baab01c2/i/83d015ac-6d30-4dbe-82b6-c20fa1ebc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obile.olimpoks.ru/Prepare/Doc/1035/5/f6b6ea45-8c63-4ce0-8046-f504baab01c2/i/83d015ac-6d30-4dbe-82b6-c20fa1ebcf1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31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участка фасадов зданий противостоящей застройки;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8B1177A" wp14:editId="1CDE8614">
            <wp:extent cx="361315" cy="467995"/>
            <wp:effectExtent l="0" t="0" r="635" b="8255"/>
            <wp:docPr id="309" name="Рисунок 309" descr="https://mobile.olimpoks.ru/Prepare/Doc/1035/5/f6b6ea45-8c63-4ce0-8046-f504baab01c2/i/2483d6d7-4327-48ba-aa9f-eda3eec01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obile.olimpoks.ru/Prepare/Doc/1035/5/f6b6ea45-8c63-4ce0-8046-f504baab01c2/i/2483d6d7-4327-48ba-aa9f-eda3eec01e8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315"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FCA702E" wp14:editId="343E500E">
            <wp:extent cx="659130" cy="648335"/>
            <wp:effectExtent l="0" t="0" r="7620" b="0"/>
            <wp:docPr id="308" name="Рисунок 308" descr="https://mobile.olimpoks.ru/Prepare/Doc/1035/5/f6b6ea45-8c63-4ce0-8046-f504baab01c2/i/e09ab64a-42e1-4449-82f4-f196d3c45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obile.olimpoks.ru/Prepare/Doc/1035/5/f6b6ea45-8c63-4ce0-8046-f504baab01c2/i/e09ab64a-42e1-4449-82f4-f196d3c45bfb.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9130" cy="6483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изменения внутренней отраженной составляющей КЕО в помещении при наличии противостоящих зданий, определяемый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5591FD87" wp14:editId="5CB81914">
            <wp:extent cx="7049135" cy="2987675"/>
            <wp:effectExtent l="0" t="0" r="0" b="3175"/>
            <wp:docPr id="307" name="Рисунок 307" descr="https://mobile.olimpoks.ru/Prepare/Doc/1035/5/f6b6ea45-8c63-4ce0-8046-f504baab01c2/i/c554775f-0a7b-488f-97f8-980b1d16b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obile.olimpoks.ru/Prepare/Doc/1035/5/f6b6ea45-8c63-4ce0-8046-f504baab01c2/i/c554775f-0a7b-488f-97f8-980b1d16bc2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49135" cy="29876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(3.14)</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здесь </w:t>
      </w:r>
      <w:r w:rsidRPr="003C0CFF">
        <w:rPr>
          <w:rFonts w:eastAsia="Times New Roman" w:cstheme="minorHAnsi"/>
          <w:noProof/>
          <w:color w:val="000000" w:themeColor="text1"/>
          <w:sz w:val="24"/>
          <w:szCs w:val="24"/>
          <w:lang w:eastAsia="ru-RU"/>
        </w:rPr>
        <w:drawing>
          <wp:inline distT="0" distB="0" distL="0" distR="0" wp14:anchorId="1DA709D5" wp14:editId="2C30E3A2">
            <wp:extent cx="797560" cy="627380"/>
            <wp:effectExtent l="0" t="0" r="2540" b="1270"/>
            <wp:docPr id="306" name="Рисунок 306" descr="https://mobile.olimpoks.ru/Prepare/Doc/1035/5/f6b6ea45-8c63-4ce0-8046-f504baab01c2/i/be7a6011-cc1b-45cd-a558-dd095424c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obile.olimpoks.ru/Prepare/Doc/1035/5/f6b6ea45-8c63-4ce0-8046-f504baab01c2/i/be7a6011-cc1b-45cd-a558-dd095424c9a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7560" cy="6273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изменения внутренней отраженной составляющей КЕО в помещении при полном закрытии небосвода зданиями, видимыми из расчетной точки;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A997A9E" wp14:editId="1D01E527">
            <wp:extent cx="467995" cy="478155"/>
            <wp:effectExtent l="0" t="0" r="8255" b="0"/>
            <wp:docPr id="305" name="Рисунок 305" descr="https://mobile.olimpoks.ru/Prepare/Doc/1035/5/f6b6ea45-8c63-4ce0-8046-f504baab01c2/i/ce9829db-1cf1-4b81-b125-15a888365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obile.olimpoks.ru/Prepare/Doc/1035/5/f6b6ea45-8c63-4ce0-8046-f504baab01c2/i/ce9829db-1cf1-4b81-b125-15a8883654cf.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995" cy="478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общий коэффициент светопропускания, определяемый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CC0D644" wp14:editId="3CE8EB62">
            <wp:extent cx="3051810" cy="467995"/>
            <wp:effectExtent l="0" t="0" r="0" b="8255"/>
            <wp:docPr id="304" name="Рисунок 304" descr="https://mobile.olimpoks.ru/Prepare/Doc/1035/5/f6b6ea45-8c63-4ce0-8046-f504baab01c2/i/659cdd4e-4698-4f19-82e5-04593547c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obile.olimpoks.ru/Prepare/Doc/1035/5/f6b6ea45-8c63-4ce0-8046-f504baab01c2/i/659cdd4e-4698-4f19-82e5-04593547c95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51810"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4E9AF208" wp14:editId="2943F82C">
            <wp:extent cx="361315" cy="488950"/>
            <wp:effectExtent l="0" t="0" r="635" b="6350"/>
            <wp:docPr id="303" name="Рисунок 303" descr="https://mobile.olimpoks.ru/Prepare/Doc/1035/5/f6b6ea45-8c63-4ce0-8046-f504baab01c2/i/37c804aa-8958-41b2-a864-565ef13f26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obile.olimpoks.ru/Prepare/Doc/1035/5/f6b6ea45-8c63-4ce0-8046-f504baab01c2/i/37c804aa-8958-41b2-a864-565ef13f26c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315"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светопропускания материала;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F946C9A" wp14:editId="6C1727C2">
            <wp:extent cx="457200" cy="467995"/>
            <wp:effectExtent l="0" t="0" r="0" b="8255"/>
            <wp:docPr id="302" name="Рисунок 302" descr="https://mobile.olimpoks.ru/Prepare/Doc/1035/5/f6b6ea45-8c63-4ce0-8046-f504baab01c2/i/7f8e4a73-d9f2-46ad-8324-6da917496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obile.olimpoks.ru/Prepare/Doc/1035/5/f6b6ea45-8c63-4ce0-8046-f504baab01c2/i/7f8e4a73-d9f2-46ad-8324-6da91749695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потери света в переплетах светопроема. Размеры светопроема принимаются равными размерам коробки переплета по наружному обмеру;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F5D392F" wp14:editId="466795B8">
            <wp:extent cx="393700" cy="478155"/>
            <wp:effectExtent l="0" t="0" r="6350" b="0"/>
            <wp:docPr id="301" name="Рисунок 301" descr="https://mobile.olimpoks.ru/Prepare/Doc/1035/5/f6b6ea45-8c63-4ce0-8046-f504baab01c2/i/6b88009c-25e4-43de-8784-600471212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obile.olimpoks.ru/Prepare/Doc/1035/5/f6b6ea45-8c63-4ce0-8046-f504baab01c2/i/6b88009c-25e4-43de-8784-600471212e9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700" cy="478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потери света в несущих конструкциях (при боковом освещении </w:t>
      </w:r>
      <w:r w:rsidRPr="003C0CFF">
        <w:rPr>
          <w:rFonts w:eastAsia="Times New Roman" w:cstheme="minorHAnsi"/>
          <w:noProof/>
          <w:color w:val="000000" w:themeColor="text1"/>
          <w:sz w:val="24"/>
          <w:szCs w:val="24"/>
          <w:lang w:eastAsia="ru-RU"/>
        </w:rPr>
        <w:drawing>
          <wp:inline distT="0" distB="0" distL="0" distR="0" wp14:anchorId="0EE77EED" wp14:editId="61FCFDB9">
            <wp:extent cx="393700" cy="478155"/>
            <wp:effectExtent l="0" t="0" r="6350" b="0"/>
            <wp:docPr id="300" name="Рисунок 300" descr="https://mobile.olimpoks.ru/Prepare/Doc/1035/5/f6b6ea45-8c63-4ce0-8046-f504baab01c2/i/6b88009c-25e4-43de-8784-600471212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obile.olimpoks.ru/Prepare/Doc/1035/5/f6b6ea45-8c63-4ce0-8046-f504baab01c2/i/6b88009c-25e4-43de-8784-600471212e9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700" cy="478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19E81D1" wp14:editId="78E70012">
            <wp:extent cx="414655" cy="446405"/>
            <wp:effectExtent l="0" t="0" r="4445" b="0"/>
            <wp:docPr id="299" name="Рисунок 299" descr="https://mobile.olimpoks.ru/Prepare/Doc/1035/5/f6b6ea45-8c63-4ce0-8046-f504baab01c2/i/350a5f5f-007c-4960-87ff-fa831c3ca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obile.olimpoks.ru/Prepare/Doc/1035/5/f6b6ea45-8c63-4ce0-8046-f504baab01c2/i/350a5f5f-007c-4960-87ff-fa831c3ca38b.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465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потери света в солнцезащитных устройствах;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0FAA7E0" wp14:editId="3B072799">
            <wp:extent cx="393700" cy="499745"/>
            <wp:effectExtent l="0" t="0" r="6350" b="0"/>
            <wp:docPr id="298" name="Рисунок 298" descr="https://mobile.olimpoks.ru/Prepare/Doc/1035/5/f6b6ea45-8c63-4ce0-8046-f504baab01c2/i/2ae2e148-b3fb-4ef1-b98a-ee6355da0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obile.olimpoks.ru/Prepare/Doc/1035/5/f6b6ea45-8c63-4ce0-8046-f504baab01c2/i/2ae2e148-b3fb-4ef1-b98a-ee6355da0c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3700"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потери света в защитной сетке, устанавливаемой под фонарями, принимаемый равным 0,9;</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1C86EFA7" wp14:editId="7FA48FB0">
            <wp:extent cx="840105" cy="467995"/>
            <wp:effectExtent l="0" t="0" r="0" b="8255"/>
            <wp:docPr id="297" name="Рисунок 297" descr="https://mobile.olimpoks.ru/Prepare/Doc/1035/5/f6b6ea45-8c63-4ce0-8046-f504baab01c2/i/a17f641c-541f-403a-b5dc-3680adcfc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obile.olimpoks.ru/Prepare/Doc/1035/5/f6b6ea45-8c63-4ce0-8046-f504baab01c2/i/a17f641c-541f-403a-b5dc-3680adcfc40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0105"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эксплуатации, определяемый по таблице 4.3;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72951B7" wp14:editId="3730C035">
            <wp:extent cx="308610" cy="287020"/>
            <wp:effectExtent l="0" t="0" r="0" b="0"/>
            <wp:docPr id="296" name="Рисунок 296" descr="https://mobile.olimpoks.ru/Prepare/Doc/1035/5/f6b6ea45-8c63-4ce0-8046-f504baab01c2/i/7e1fd08f-83d6-4b7b-a628-72aee37d3d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obile.olimpoks.ru/Prepare/Doc/1035/5/f6b6ea45-8c63-4ce0-8046-f504baab01c2/i/7e1fd08f-83d6-4b7b-a628-72aee37d3d9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число световых проемов в покрытии;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44A8C37" wp14:editId="1AF20774">
            <wp:extent cx="627380" cy="499745"/>
            <wp:effectExtent l="0" t="0" r="1270" b="0"/>
            <wp:docPr id="295" name="Рисунок 295" descr="https://mobile.olimpoks.ru/Prepare/Doc/1035/5/f6b6ea45-8c63-4ce0-8046-f504baab01c2/i/9480e32a-2802-4c75-8192-f5a2ff558e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obile.olimpoks.ru/Prepare/Doc/1035/5/f6b6ea45-8c63-4ce0-8046-f504baab01c2/i/9480e32a-2802-4c75-8192-f5a2ff558e5f.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7380"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геометрический КЕО в расчетной точке при верхнем освещении от </w:t>
      </w:r>
      <w:r w:rsidRPr="003C0CFF">
        <w:rPr>
          <w:rFonts w:eastAsia="Times New Roman" w:cstheme="minorHAnsi"/>
          <w:noProof/>
          <w:color w:val="000000" w:themeColor="text1"/>
          <w:sz w:val="24"/>
          <w:szCs w:val="24"/>
          <w:lang w:eastAsia="ru-RU"/>
        </w:rPr>
        <w:drawing>
          <wp:inline distT="0" distB="0" distL="0" distR="0" wp14:anchorId="5214AF14" wp14:editId="7E8D661B">
            <wp:extent cx="308610" cy="488950"/>
            <wp:effectExtent l="0" t="0" r="0" b="6350"/>
            <wp:docPr id="294" name="Рисунок 294"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проема;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19323D4" wp14:editId="54D245F8">
            <wp:extent cx="574040" cy="531495"/>
            <wp:effectExtent l="0" t="0" r="0" b="1905"/>
            <wp:docPr id="293" name="Рисунок 293" descr="https://mobile.olimpoks.ru/Prepare/Doc/1035/5/f6b6ea45-8c63-4ce0-8046-f504baab01c2/i/8207b9e6-b31d-4a77-b515-05df29977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obile.olimpoks.ru/Prepare/Doc/1035/5/f6b6ea45-8c63-4ce0-8046-f504baab01c2/i/8207b9e6-b31d-4a77-b515-05df299779e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040" cy="5314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среднее значение геометрического КЕО при верхнем освещении на линии пересечения условной рабочей поверхности и плоскости характерного вертикального разреза помещения, определяемое из соотношения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1D31FA6" wp14:editId="3B71F401">
            <wp:extent cx="3061970" cy="1424940"/>
            <wp:effectExtent l="0" t="0" r="5080" b="3810"/>
            <wp:docPr id="292" name="Рисунок 292" descr="https://mobile.olimpoks.ru/Prepare/Doc/1035/5/f6b6ea45-8c63-4ce0-8046-f504baab01c2/i/efd74909-218f-42b0-8b26-413f8d1cd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obile.olimpoks.ru/Prepare/Doc/1035/5/f6b6ea45-8c63-4ce0-8046-f504baab01c2/i/efd74909-218f-42b0-8b26-413f8d1cd9e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1970" cy="142494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(3.16)</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здесь </w:t>
      </w:r>
      <w:r w:rsidRPr="003C0CFF">
        <w:rPr>
          <w:rFonts w:eastAsia="Times New Roman" w:cstheme="minorHAnsi"/>
          <w:noProof/>
          <w:color w:val="000000" w:themeColor="text1"/>
          <w:sz w:val="24"/>
          <w:szCs w:val="24"/>
          <w:lang w:eastAsia="ru-RU"/>
        </w:rPr>
        <w:drawing>
          <wp:inline distT="0" distB="0" distL="0" distR="0" wp14:anchorId="1DAA95E5" wp14:editId="34452944">
            <wp:extent cx="436245" cy="457200"/>
            <wp:effectExtent l="0" t="0" r="1905" b="0"/>
            <wp:docPr id="291" name="Рисунок 291" descr="https://mobile.olimpoks.ru/Prepare/Doc/1035/5/f6b6ea45-8c63-4ce0-8046-f504baab01c2/i/c37ca41c-e01d-41e6-8004-4b5061fda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obile.olimpoks.ru/Prepare/Doc/1035/5/f6b6ea45-8c63-4ce0-8046-f504baab01c2/i/c37ca41c-e01d-41e6-8004-4b5061fda0d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624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число расчетных точек;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C4CDC95" wp14:editId="0BB739E4">
            <wp:extent cx="340360" cy="488950"/>
            <wp:effectExtent l="0" t="0" r="2540" b="6350"/>
            <wp:docPr id="290" name="Рисунок 290" descr="https://mobile.olimpoks.ru/Prepare/Doc/1035/5/f6b6ea45-8c63-4ce0-8046-f504baab01c2/i/50aee0f8-ac0e-4041-9dfb-f6ac19004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obile.olimpoks.ru/Prepare/Doc/1035/5/f6b6ea45-8c63-4ce0-8046-f504baab01c2/i/50aee0f8-ac0e-4041-9dfb-f6ac19004c6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36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повышение КЕО при верхнем освещении благодаря свету, отраженному от поверхностей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F3499AD" wp14:editId="6FF83E03">
            <wp:extent cx="488950" cy="690880"/>
            <wp:effectExtent l="0" t="0" r="6350" b="0"/>
            <wp:docPr id="289" name="Рисунок 289" descr="https://mobile.olimpoks.ru/Prepare/Doc/1035/5/f6b6ea45-8c63-4ce0-8046-f504baab01c2/i/5f221504-640d-4fbf-9f68-5255d5b76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obile.olimpoks.ru/Prepare/Doc/1035/5/f6b6ea45-8c63-4ce0-8046-f504baab01c2/i/5f221504-640d-4fbf-9f68-5255d5b7640b.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8950" cy="6908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учитывающий тип фонаря.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3.74. Резервное освещение: вид аварийного освещения для продолжения работы в случае отключения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3.75. Световой климат: совокупность условий естественного освещения в той или иной местности (освещенность и количество освещения на горизонтальной и различно ориентированных по сторонам горизонта вертикальных поверхностях, создаваемых рассеянным светом неба и прямым светом солнца, продолжительность солнечного сияния и альбедо подстилающей поверхности) за период более десяти лет.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3.76. Световод естественного света: устройство для пропускания естественного света внутрь здания по прямолинейной и (или) непрямолинейной светопроводной шахте (каналу) с соотношением наименьшей стороны (диаметра) входного основания </w:t>
      </w:r>
      <w:r w:rsidRPr="003C0CFF">
        <w:rPr>
          <w:rFonts w:eastAsia="Times New Roman" w:cstheme="minorHAnsi"/>
          <w:noProof/>
          <w:color w:val="000000" w:themeColor="text1"/>
          <w:sz w:val="24"/>
          <w:szCs w:val="24"/>
          <w:lang w:eastAsia="ru-RU"/>
        </w:rPr>
        <w:drawing>
          <wp:inline distT="0" distB="0" distL="0" distR="0" wp14:anchorId="216FF3D3" wp14:editId="5EE9AD82">
            <wp:extent cx="520700" cy="308610"/>
            <wp:effectExtent l="0" t="0" r="0" b="0"/>
            <wp:docPr id="288" name="Рисунок 288" descr="https://mobile.olimpoks.ru/Prepare/Doc/1035/5/f6b6ea45-8c63-4ce0-8046-f504baab01c2/i/7454a797-0305-4dc3-a132-cac5f443fc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obile.olimpoks.ru/Prepare/Doc/1035/5/f6b6ea45-8c63-4ce0-8046-f504baab01c2/i/7454a797-0305-4dc3-a132-cac5f443fc6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 высоте светопроводной шахты </w:t>
      </w:r>
      <w:r w:rsidRPr="003C0CFF">
        <w:rPr>
          <w:rFonts w:eastAsia="Times New Roman" w:cstheme="minorHAnsi"/>
          <w:noProof/>
          <w:color w:val="000000" w:themeColor="text1"/>
          <w:sz w:val="24"/>
          <w:szCs w:val="24"/>
          <w:lang w:eastAsia="ru-RU"/>
        </w:rPr>
        <w:drawing>
          <wp:inline distT="0" distB="0" distL="0" distR="0" wp14:anchorId="45B2357C" wp14:editId="60BAA70B">
            <wp:extent cx="669925" cy="393700"/>
            <wp:effectExtent l="0" t="0" r="0" b="6350"/>
            <wp:docPr id="287" name="Рисунок 287" descr="https://mobile.olimpoks.ru/Prepare/Doc/1035/5/f6b6ea45-8c63-4ce0-8046-f504baab01c2/i/cd4304fe-44fb-45d0-b470-0b44add61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obile.olimpoks.ru/Prepare/Doc/1035/5/f6b6ea45-8c63-4ce0-8046-f504baab01c2/i/cd4304fe-44fb-45d0-b470-0b44add616e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992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(расстояние от ее входного основания до выходного основания): </w:t>
      </w:r>
      <w:r w:rsidRPr="003C0CFF">
        <w:rPr>
          <w:rFonts w:eastAsia="Times New Roman" w:cstheme="minorHAnsi"/>
          <w:noProof/>
          <w:color w:val="000000" w:themeColor="text1"/>
          <w:sz w:val="24"/>
          <w:szCs w:val="24"/>
          <w:lang w:eastAsia="ru-RU"/>
        </w:rPr>
        <w:drawing>
          <wp:inline distT="0" distB="0" distL="0" distR="0" wp14:anchorId="73A73865" wp14:editId="712B6E01">
            <wp:extent cx="520700" cy="308610"/>
            <wp:effectExtent l="0" t="0" r="0" b="0"/>
            <wp:docPr id="286" name="Рисунок 286" descr="https://mobile.olimpoks.ru/Prepare/Doc/1035/5/f6b6ea45-8c63-4ce0-8046-f504baab01c2/i/7454a797-0305-4dc3-a132-cac5f443fc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obile.olimpoks.ru/Prepare/Doc/1035/5/f6b6ea45-8c63-4ce0-8046-f504baab01c2/i/7454a797-0305-4dc3-a132-cac5f443fc6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700" cy="3086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2A280B2F" wp14:editId="5D41D66D">
            <wp:extent cx="669925" cy="393700"/>
            <wp:effectExtent l="0" t="0" r="0" b="6350"/>
            <wp:docPr id="285" name="Рисунок 285" descr="https://mobile.olimpoks.ru/Prepare/Doc/1035/5/f6b6ea45-8c63-4ce0-8046-f504baab01c2/i/cd4304fe-44fb-45d0-b470-0b44add61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obile.olimpoks.ru/Prepare/Doc/1035/5/f6b6ea45-8c63-4ce0-8046-f504baab01c2/i/cd4304fe-44fb-45d0-b470-0b44add616e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992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&lt; 0,1.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(п. 3.76 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3.77. Световой указатель: знак безопасности с внутренней подсветкой.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3.78. Светодиод: источник света, основанный на испускании некогерентного излучения в видимом диапазоне длин волн при пропускании электрического тока через полупроводниковый диод.</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3.79. Селитебная территория: территория, предназначенная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3.80. Система встречного освещения тоннеля: освещение тоннеля, при котором свет падает на объекты преимущественно навстречу движению транспортного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системы встречного освещения используют светильники, распределение силы света которых асимметрично относительно плоскости, перпендикулярной направлению движения транспортного потока, причем максимум силы света направлен навстречу движению транспортного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3.81. Система симметричного освещения тоннеля: освещение тоннеля, при котором свет падает на объекты одинаково как по ходу, так и навстречу движению транспортного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системы симметричного освещения используют светильники, распределение силы света которых симметрично относительно плоскости, перпендикулярной направлению движения транспортного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3.82. Система указания путей эвакуации: система знаков безопасности, позволяющая людям эвакуироваться из места расположения в случае возникновения пожара или чрезвычайной ситуации по установленному пути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3.82 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3.83. Совмещенное освещение: освещение, при котором недостаточное по нормам естественное освещение дополняется искусственным в течение полного рабочего дня.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3.84. Среднее значение КЕО </w:t>
      </w:r>
      <w:r w:rsidRPr="003C0CFF">
        <w:rPr>
          <w:rFonts w:eastAsia="Times New Roman" w:cstheme="minorHAnsi"/>
          <w:noProof/>
          <w:color w:val="000000" w:themeColor="text1"/>
          <w:sz w:val="24"/>
          <w:szCs w:val="24"/>
          <w:lang w:eastAsia="ru-RU"/>
        </w:rPr>
        <w:drawing>
          <wp:inline distT="0" distB="0" distL="0" distR="0" wp14:anchorId="41CBF0F5" wp14:editId="47E7CD48">
            <wp:extent cx="574040" cy="542290"/>
            <wp:effectExtent l="0" t="0" r="0" b="0"/>
            <wp:docPr id="284" name="Рисунок 284" descr="https://mobile.olimpoks.ru/Prepare/Doc/1035/5/f6b6ea45-8c63-4ce0-8046-f504baab01c2/i/cc941485-ce3c-4add-8647-89c6a042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obile.olimpoks.ru/Prepare/Doc/1035/5/f6b6ea45-8c63-4ce0-8046-f504baab01c2/i/cc941485-ce3c-4add-8647-89c6a042e08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040" cy="5422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при верхнем или комбинированном освещении определяется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2BB1AAD" wp14:editId="7EFB1850">
            <wp:extent cx="6092190" cy="1584325"/>
            <wp:effectExtent l="0" t="0" r="3810" b="0"/>
            <wp:docPr id="283" name="Рисунок 283" descr="https://mobile.olimpoks.ru/Prepare/Doc/1035/5/f6b6ea45-8c63-4ce0-8046-f504baab01c2/i/a48be644-1042-4238-be40-3ae407435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obile.olimpoks.ru/Prepare/Doc/1035/5/f6b6ea45-8c63-4ce0-8046-f504baab01c2/i/a48be644-1042-4238-be40-3ae40743504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2190" cy="15843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(3.17)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01E0C17B" wp14:editId="266B4E72">
            <wp:extent cx="393700" cy="478155"/>
            <wp:effectExtent l="0" t="0" r="6350" b="0"/>
            <wp:docPr id="282" name="Рисунок 282" descr="https://mobile.olimpoks.ru/Prepare/Doc/1035/5/f6b6ea45-8c63-4ce0-8046-f504baab01c2/i/f19e18f6-fb3e-465f-a9e7-5b201bcdb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obile.olimpoks.ru/Prepare/Doc/1035/5/f6b6ea45-8c63-4ce0-8046-f504baab01c2/i/f19e18f6-fb3e-465f-a9e7-5b201bcdb36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3700" cy="478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7DAD3F2F" wp14:editId="7A5DE1C3">
            <wp:extent cx="478155" cy="520700"/>
            <wp:effectExtent l="0" t="0" r="0" b="0"/>
            <wp:docPr id="281" name="Рисунок 281" descr="https://mobile.olimpoks.ru/Prepare/Doc/1035/5/f6b6ea45-8c63-4ce0-8046-f504baab01c2/i/268c6d4a-93ff-4436-852c-4a87ebf2b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obile.olimpoks.ru/Prepare/Doc/1035/5/f6b6ea45-8c63-4ce0-8046-f504baab01c2/i/268c6d4a-93ff-4436-852c-4a87ebf2b0b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8155" cy="520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значения КЕО при верхнем или комбинированном освещении в первой и последней точках характерного разреза помещения, см. формулы (3.12) и (3.13);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lastRenderedPageBreak/>
        <w:drawing>
          <wp:inline distT="0" distB="0" distL="0" distR="0" wp14:anchorId="7EAAE10F" wp14:editId="7C88F9F3">
            <wp:extent cx="372110" cy="467995"/>
            <wp:effectExtent l="0" t="0" r="8890" b="8255"/>
            <wp:docPr id="280" name="Рисунок 280" descr="https://mobile.olimpoks.ru/Prepare/Doc/1035/5/f6b6ea45-8c63-4ce0-8046-f504baab01c2/i/dc156b24-e046-4294-b184-910d1b7d8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obile.olimpoks.ru/Prepare/Doc/1035/5/f6b6ea45-8c63-4ce0-8046-f504baab01c2/i/dc156b24-e046-4294-b184-910d1b7d8fa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110"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значения КЕО в остальных точках характерного разреза помещения (</w:t>
      </w:r>
      <w:r w:rsidRPr="003C0CFF">
        <w:rPr>
          <w:rFonts w:eastAsia="Times New Roman" w:cstheme="minorHAnsi"/>
          <w:noProof/>
          <w:color w:val="000000" w:themeColor="text1"/>
          <w:sz w:val="24"/>
          <w:szCs w:val="24"/>
          <w:lang w:eastAsia="ru-RU"/>
        </w:rPr>
        <w:drawing>
          <wp:inline distT="0" distB="0" distL="0" distR="0" wp14:anchorId="2DE9E912" wp14:editId="019F32E1">
            <wp:extent cx="308610" cy="488950"/>
            <wp:effectExtent l="0" t="0" r="0" b="6350"/>
            <wp:docPr id="279" name="Рисунок 279"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2, 3, ..., N - 1).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3.85. Средняя освещенность на дорожном покрытии </w:t>
      </w:r>
      <w:r w:rsidRPr="003C0CFF">
        <w:rPr>
          <w:rFonts w:eastAsia="Times New Roman" w:cstheme="minorHAnsi"/>
          <w:noProof/>
          <w:color w:val="000000" w:themeColor="text1"/>
          <w:sz w:val="24"/>
          <w:szCs w:val="24"/>
          <w:lang w:eastAsia="ru-RU"/>
        </w:rPr>
        <w:drawing>
          <wp:inline distT="0" distB="0" distL="0" distR="0" wp14:anchorId="536FA553" wp14:editId="7D2634D8">
            <wp:extent cx="648335" cy="605790"/>
            <wp:effectExtent l="0" t="0" r="0" b="3810"/>
            <wp:docPr id="278" name="Рисунок 278"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освещенность на дорожном покрытии, средневзвешенная по площади заданного участка.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3.86. Средняя яркость дорожного покрытия </w:t>
      </w:r>
      <w:r w:rsidRPr="003C0CFF">
        <w:rPr>
          <w:rFonts w:eastAsia="Times New Roman" w:cstheme="minorHAnsi"/>
          <w:noProof/>
          <w:color w:val="000000" w:themeColor="text1"/>
          <w:sz w:val="24"/>
          <w:szCs w:val="24"/>
          <w:lang w:eastAsia="ru-RU"/>
        </w:rPr>
        <w:drawing>
          <wp:inline distT="0" distB="0" distL="0" distR="0" wp14:anchorId="3DC64A04" wp14:editId="7B12458E">
            <wp:extent cx="871855" cy="914400"/>
            <wp:effectExtent l="0" t="0" r="4445" b="0"/>
            <wp:docPr id="277" name="Рисунок 277"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яркость сухого дорожного покрытия в направлении глаза наблюдателя, находящегося в стандартных условиях наблюдения на оси полосы движения транспорта, средневзвешенная по площади проезжей части заданного участка.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3.87. Средняя яркость дорожного покрытия в переходной зоне тоннеля </w:t>
      </w:r>
      <w:r w:rsidRPr="003C0CFF">
        <w:rPr>
          <w:rFonts w:eastAsia="Times New Roman" w:cstheme="minorHAnsi"/>
          <w:noProof/>
          <w:color w:val="000000" w:themeColor="text1"/>
          <w:sz w:val="24"/>
          <w:szCs w:val="24"/>
          <w:lang w:eastAsia="ru-RU"/>
        </w:rPr>
        <w:drawing>
          <wp:inline distT="0" distB="0" distL="0" distR="0" wp14:anchorId="07034B15" wp14:editId="246406B9">
            <wp:extent cx="499745" cy="446405"/>
            <wp:effectExtent l="0" t="0" r="0" b="0"/>
            <wp:docPr id="276" name="Рисунок 276"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средняя по площади проезжей части яркость сухого дорожного покрытия в направлении глаза наблюдателя, находящегося на оси полосы движения транспорта в переходной зоне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3.88. Средняя яркость пороговой зоны тоннеля </w:t>
      </w:r>
      <w:r w:rsidRPr="003C0CFF">
        <w:rPr>
          <w:rFonts w:eastAsia="Times New Roman" w:cstheme="minorHAnsi"/>
          <w:noProof/>
          <w:color w:val="000000" w:themeColor="text1"/>
          <w:sz w:val="24"/>
          <w:szCs w:val="24"/>
          <w:lang w:eastAsia="ru-RU"/>
        </w:rPr>
        <w:drawing>
          <wp:inline distT="0" distB="0" distL="0" distR="0" wp14:anchorId="2C62B37C" wp14:editId="618C7270">
            <wp:extent cx="531495" cy="436245"/>
            <wp:effectExtent l="0" t="0" r="1905" b="1905"/>
            <wp:docPr id="275" name="Рисунок 275" descr="https://mobile.olimpoks.ru/Prepare/Doc/1035/5/f6b6ea45-8c63-4ce0-8046-f504baab01c2/i/036f7eb1-d05a-4bb4-8a71-0806f66b7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obile.olimpoks.ru/Prepare/Doc/1035/5/f6b6ea45-8c63-4ce0-8046-f504baab01c2/i/036f7eb1-d05a-4bb4-8a71-0806f66b7d3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149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средняя яркость дорожного покрытия в первой половине пороговой зоны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3.89. Стандартные условия наблюдения в дорожном освещении: регламентируемые при расчете яркости дорожного покрытия условия наблюдения водителем транспортного средства, при которых глаз наблюдателя располагается на высоте 1,5 м над дорожным покрытием и удален от расчетной точки на расстояние, при котором линия зрения направлена в расчетную точку под углом (1,0 0,5)° к плоскости дороги.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3.90. Стробоскопический эффект: зрительное восприятие кажущегося изменения, прекращения вращательного движения или периодического колебания объекта, освещаемого светом, изменяющимся с близкой, совпадающей или кратной частотой.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3.90а. Темное время суток: промежуток времени от конца вечерних сумерек до начала утренних сумерек.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 пункт 1.2]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3.90а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3.91. Транспортная зона тоннеля: часть строительного комплекса тоннеля, содержащая непосредственно проезжую часть, заключенную между въездным и выездным порталами.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3.92. Тротуар: пешеходная часть улицы.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3.93. Удельная мощность </w:t>
      </w:r>
      <w:r w:rsidRPr="003C0CFF">
        <w:rPr>
          <w:rFonts w:eastAsia="Times New Roman" w:cstheme="minorHAnsi"/>
          <w:noProof/>
          <w:color w:val="000000" w:themeColor="text1"/>
          <w:sz w:val="24"/>
          <w:szCs w:val="24"/>
          <w:lang w:eastAsia="ru-RU"/>
        </w:rPr>
        <w:drawing>
          <wp:inline distT="0" distB="0" distL="0" distR="0" wp14:anchorId="640F1D15" wp14:editId="32DBAC23">
            <wp:extent cx="414655" cy="393700"/>
            <wp:effectExtent l="0" t="0" r="4445" b="6350"/>
            <wp:docPr id="274" name="Рисунок 274" descr="https://mobile.olimpoks.ru/Prepare/Doc/1035/5/f6b6ea45-8c63-4ce0-8046-f504baab01c2/i/95a79a6c-539c-44c7-8a38-41ab9f702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obile.olimpoks.ru/Prepare/Doc/1035/5/f6b6ea45-8c63-4ce0-8046-f504baab01c2/i/95a79a6c-539c-44c7-8a38-41ab9f702d2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465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Вт/м²: установленная мощность искусственного освещения в помещении, отнесенная к полезной площади.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3.93а. Указатель выхода: знак безопасности, предназначенный для обозначения эвакуационного выхода.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3.93а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3.94. Улица: пространство, полностью или частично ограниченное зданиями с одной или обеих сторон, с проезжей частью для транспорта, пешеходными, а при необходимости - и велосипедными дорожками.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3.95. Условная рабочая поверхность: условная горизонтальная поверхность, расположенная на высоте 0,8 м от пола.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3.96. Установленная скорость движения: максимальная проектная скорость движения транспорта.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3.97. Утилитарное наружное освещение: стационарное освещение, предназначенное для обеспечения безопасного и комфортного движения транспортных средств и пешеходов.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3.98. Участок дороги со стандартной геометрией проезжей части: участок дороги или улицы, проезжая часть которого представляет собой плоское прямоугольное полотно длиной, определяемой стандартными условиями наблюдения.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участков со стандартной геометрией проезжей части нормируются и яркость, и освещенность дорожного покрытия.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3.99. Участок дороги с нестандартной геометрией проезжей части: участок дороги или улицы, имеющей отклонения от стандартной геометрии, например повороты, развилки, въезды и съезды с эстакад, криволинейные (в плане и профиле) участки и др.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участков с нестандартной геометрией проезжей части нормируется только освещенность дорожного покрытия.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3.100. Фликер: субъективное восприятие колебаний светового потока искусственных источников света по величине и во времени.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3.101. Фликер-эффект (в освещении тоннелей): эффект монотонного мелькания ярких частей светильников и их бликов от корпуса автомобиля, вызывающий раздражение у водителя при определенных интервалах частот и продолжительности мельканий.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3.102. Фон: поверхность, прилегающая непосредственно к объекту различения, на которой он рассматривается.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Фон считается: светлым - при коэффициенте отражения поверхности более 0,4; средним - то же, от 0,2 до 0,4; темным - то же, менее 0,2.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3.103. Характерный разрез помещения: поперечный разрез посредине помещения, плоскость которого перпендикулярна плоскости остекления световых проемов (при боковом освещении) или продольной оси пролетов помещения. В характерный разрез помещения должны попадать участки с наибольшим числом рабочих мест, а также точки рабочей зоны, наиболее удаленные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3.104. Цветовая температура </w:t>
      </w:r>
      <w:r w:rsidRPr="003C0CFF">
        <w:rPr>
          <w:rFonts w:eastAsia="Times New Roman" w:cstheme="minorHAnsi"/>
          <w:noProof/>
          <w:color w:val="000000" w:themeColor="text1"/>
          <w:sz w:val="24"/>
          <w:szCs w:val="24"/>
          <w:lang w:eastAsia="ru-RU"/>
        </w:rPr>
        <w:drawing>
          <wp:inline distT="0" distB="0" distL="0" distR="0" wp14:anchorId="306777B5" wp14:editId="0C682F0D">
            <wp:extent cx="393700" cy="436245"/>
            <wp:effectExtent l="0" t="0" r="6350" b="1905"/>
            <wp:docPr id="273" name="Рисунок 273" descr="https://mobile.olimpoks.ru/Prepare/Doc/1035/5/f6b6ea45-8c63-4ce0-8046-f504baab01c2/i/f4f7530a-d177-4add-b5d3-cdbcaac37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obile.olimpoks.ru/Prepare/Doc/1035/5/f6b6ea45-8c63-4ce0-8046-f504baab01c2/i/f4f7530a-d177-4add-b5d3-cdbcaac3789b.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3700"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 температура излучателя Планка (черного тела), при которой его излучение имеет ту же цветность, что и излучение рассматриваемого объекта.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3.105. Цветопередача: общее понятие, характеризующее влияние спектрального состава источника света на зрительное восприятие цветных объектов, сознательно или бессознательно сравниваемое с восприятием тех же объектов, освещенных стандартным источником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3.106. Цилиндрическая освещенность </w:t>
      </w:r>
      <w:r w:rsidRPr="003C0CFF">
        <w:rPr>
          <w:rFonts w:eastAsia="Times New Roman" w:cstheme="minorHAnsi"/>
          <w:noProof/>
          <w:color w:val="000000" w:themeColor="text1"/>
          <w:sz w:val="24"/>
          <w:szCs w:val="24"/>
          <w:lang w:eastAsia="ru-RU"/>
        </w:rPr>
        <w:drawing>
          <wp:inline distT="0" distB="0" distL="0" distR="0" wp14:anchorId="13E1C677" wp14:editId="5787744F">
            <wp:extent cx="488950" cy="425450"/>
            <wp:effectExtent l="0" t="0" r="6350" b="0"/>
            <wp:docPr id="272" name="Рисунок 272" descr="https://mobile.olimpoks.ru/Prepare/Doc/1035/5/f6b6ea45-8c63-4ce0-8046-f504baab01c2/i/29609839-b24a-42bd-8c16-dec80b6d3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obile.olimpoks.ru/Prepare/Doc/1035/5/f6b6ea45-8c63-4ce0-8046-f504baab01c2/i/29609839-b24a-42bd-8c16-dec80b6d327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8950" cy="4254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отношение светового потока, падающего на боковую поверхность бесконечно малого цилиндра с центром в заданной точке, к площади боковой поверхности этого цилиндра.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Если не оговорено иное, то ось цилиндра должна быть расположена вертикально.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Применительно к внутреннему освещению цилиндрическую освещенность используют в качестве критерия оценки насыщенности помещения светом.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3.106а. Шахтный фонарь: фонарь верхнего естественного света с соотношением наименьшей из сторон (или диаметра) входного основания </w:t>
      </w:r>
      <w:r w:rsidRPr="003C0CFF">
        <w:rPr>
          <w:rFonts w:eastAsia="Times New Roman" w:cstheme="minorHAnsi"/>
          <w:noProof/>
          <w:color w:val="000000" w:themeColor="text1"/>
          <w:sz w:val="24"/>
          <w:szCs w:val="24"/>
          <w:lang w:eastAsia="ru-RU"/>
        </w:rPr>
        <w:drawing>
          <wp:inline distT="0" distB="0" distL="0" distR="0" wp14:anchorId="0285D391" wp14:editId="6312257C">
            <wp:extent cx="680720" cy="403860"/>
            <wp:effectExtent l="0" t="0" r="5080" b="0"/>
            <wp:docPr id="271" name="Рисунок 271" descr="https://mobile.olimpoks.ru/Prepare/Doc/1035/5/f6b6ea45-8c63-4ce0-8046-f504baab01c2/i/b1529beb-8b63-48b3-8749-7a532f97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obile.olimpoks.ru/Prepare/Doc/1035/5/f6b6ea45-8c63-4ce0-8046-f504baab01c2/i/b1529beb-8b63-48b3-8749-7a532f979f5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72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 высоте светопроводной шахты (светопроводного канала) фонаря (расстояние от ее входного основания до ее выходного отверстия) </w:t>
      </w:r>
      <w:r w:rsidRPr="003C0CFF">
        <w:rPr>
          <w:rFonts w:eastAsia="Times New Roman" w:cstheme="minorHAnsi"/>
          <w:noProof/>
          <w:color w:val="000000" w:themeColor="text1"/>
          <w:sz w:val="24"/>
          <w:szCs w:val="24"/>
          <w:lang w:eastAsia="ru-RU"/>
        </w:rPr>
        <w:drawing>
          <wp:inline distT="0" distB="0" distL="0" distR="0" wp14:anchorId="4A34EEA6" wp14:editId="6BB436A9">
            <wp:extent cx="733425" cy="457200"/>
            <wp:effectExtent l="0" t="0" r="9525" b="0"/>
            <wp:docPr id="270" name="Рисунок 270" descr="https://mobile.olimpoks.ru/Prepare/Doc/1035/5/f6b6ea45-8c63-4ce0-8046-f504baab01c2/i/f26dac9b-cee5-4057-b587-485b63596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obile.olimpoks.ru/Prepare/Doc/1035/5/f6b6ea45-8c63-4ce0-8046-f504baab01c2/i/f26dac9b-cee5-4057-b587-485b6359652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имеющим значение: 0,1 ≤ </w:t>
      </w:r>
      <w:r w:rsidRPr="003C0CFF">
        <w:rPr>
          <w:rFonts w:eastAsia="Times New Roman" w:cstheme="minorHAnsi"/>
          <w:noProof/>
          <w:color w:val="000000" w:themeColor="text1"/>
          <w:sz w:val="24"/>
          <w:szCs w:val="24"/>
          <w:lang w:eastAsia="ru-RU"/>
        </w:rPr>
        <w:drawing>
          <wp:inline distT="0" distB="0" distL="0" distR="0" wp14:anchorId="7BA1E1DC" wp14:editId="0C62A77E">
            <wp:extent cx="680720" cy="403860"/>
            <wp:effectExtent l="0" t="0" r="5080" b="0"/>
            <wp:docPr id="269" name="Рисунок 269" descr="https://mobile.olimpoks.ru/Prepare/Doc/1035/5/f6b6ea45-8c63-4ce0-8046-f504baab01c2/i/b1529beb-8b63-48b3-8749-7a532f97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obile.olimpoks.ru/Prepare/Doc/1035/5/f6b6ea45-8c63-4ce0-8046-f504baab01c2/i/b1529beb-8b63-48b3-8749-7a532f979f5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72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3FC035E9" wp14:editId="4BE0FAC5">
            <wp:extent cx="733425" cy="457200"/>
            <wp:effectExtent l="0" t="0" r="9525" b="0"/>
            <wp:docPr id="268" name="Рисунок 268" descr="https://mobile.olimpoks.ru/Prepare/Doc/1035/5/f6b6ea45-8c63-4ce0-8046-f504baab01c2/i/f26dac9b-cee5-4057-b587-485b63596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obile.olimpoks.ru/Prepare/Doc/1035/5/f6b6ea45-8c63-4ce0-8046-f504baab01c2/i/f26dac9b-cee5-4057-b587-485b6359652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&lt; 0,25.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3.106а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3.107. Эвакуационное освещение: вид аварийного освещения для эвакуации людей или завершения потенциально опасного процесса.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3.108. Эвакуационный выход: выход, предназначенный для эвакуации людей в аварийной ситуации на путь эвакуации, ведущий непосредственно наружу или в безопасную зону.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3.109. Эквивалентный размер объекта различения: размер равнояркого круга на равноярком фоне, имеющего такой же пороговый контраст, что и объект различения при данной яркости фона.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3.110. Энергетическая эффективность: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статья 2, пункт 4]</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3.111. Энергосбережение: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статья 2, пункт 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3.112. Яркость </w:t>
      </w:r>
      <w:r w:rsidRPr="003C0CFF">
        <w:rPr>
          <w:rFonts w:eastAsia="Times New Roman" w:cstheme="minorHAnsi"/>
          <w:noProof/>
          <w:color w:val="000000" w:themeColor="text1"/>
          <w:sz w:val="24"/>
          <w:szCs w:val="24"/>
          <w:lang w:eastAsia="ru-RU"/>
        </w:rPr>
        <w:drawing>
          <wp:inline distT="0" distB="0" distL="0" distR="0" wp14:anchorId="11012A37" wp14:editId="74BD40DE">
            <wp:extent cx="871855" cy="914400"/>
            <wp:effectExtent l="0" t="0" r="4445" b="0"/>
            <wp:docPr id="267" name="Рисунок 267"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отношение светового потока </w:t>
      </w:r>
      <w:r w:rsidRPr="003C0CFF">
        <w:rPr>
          <w:rFonts w:eastAsia="Times New Roman" w:cstheme="minorHAnsi"/>
          <w:noProof/>
          <w:color w:val="000000" w:themeColor="text1"/>
          <w:sz w:val="24"/>
          <w:szCs w:val="24"/>
          <w:lang w:eastAsia="ru-RU"/>
        </w:rPr>
        <w:drawing>
          <wp:inline distT="0" distB="0" distL="0" distR="0" wp14:anchorId="1B6E6A07" wp14:editId="75E65F3D">
            <wp:extent cx="946150" cy="542290"/>
            <wp:effectExtent l="0" t="0" r="6350" b="0"/>
            <wp:docPr id="266" name="Рисунок 266" descr="https://mobile.olimpoks.ru/Prepare/Doc/1035/5/f6b6ea45-8c63-4ce0-8046-f504baab01c2/i/b4320a1b-7a61-4b9c-b4d9-0529869f4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obile.olimpoks.ru/Prepare/Doc/1035/5/f6b6ea45-8c63-4ce0-8046-f504baab01c2/i/b4320a1b-7a61-4b9c-b4d9-0529869f499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6150" cy="5422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переносимого элементарным пучком лучей, проходящим через заданную точку и распространяющимся в телесном угле </w:t>
      </w:r>
      <w:r w:rsidRPr="003C0CFF">
        <w:rPr>
          <w:rFonts w:eastAsia="Times New Roman" w:cstheme="minorHAnsi"/>
          <w:noProof/>
          <w:color w:val="000000" w:themeColor="text1"/>
          <w:sz w:val="24"/>
          <w:szCs w:val="24"/>
          <w:lang w:eastAsia="ru-RU"/>
        </w:rPr>
        <w:drawing>
          <wp:inline distT="0" distB="0" distL="0" distR="0" wp14:anchorId="21E0990E" wp14:editId="405C6529">
            <wp:extent cx="733425" cy="467995"/>
            <wp:effectExtent l="0" t="0" r="9525" b="8255"/>
            <wp:docPr id="265" name="Рисунок 265" descr="https://mobile.olimpoks.ru/Prepare/Doc/1035/5/f6b6ea45-8c63-4ce0-8046-f504baab01c2/i/58960d4b-3b7d-4e93-b935-e7c7cbe2f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obile.olimpoks.ru/Prepare/Doc/1035/5/f6b6ea45-8c63-4ce0-8046-f504baab01c2/i/58960d4b-3b7d-4e93-b935-e7c7cbe2fa27.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3425"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xml:space="preserve">, содержащем заданное направление, к произведению площади проходящего через </w:t>
      </w:r>
      <w:r w:rsidRPr="003C0CFF">
        <w:rPr>
          <w:rFonts w:eastAsia="Times New Roman" w:cstheme="minorHAnsi"/>
          <w:color w:val="000000" w:themeColor="text1"/>
          <w:sz w:val="24"/>
          <w:szCs w:val="24"/>
          <w:lang w:eastAsia="ru-RU"/>
        </w:rPr>
        <w:lastRenderedPageBreak/>
        <w:t>заданную точку сечения этого пучка </w:t>
      </w:r>
      <w:r w:rsidRPr="003C0CFF">
        <w:rPr>
          <w:rFonts w:eastAsia="Times New Roman" w:cstheme="minorHAnsi"/>
          <w:noProof/>
          <w:color w:val="000000" w:themeColor="text1"/>
          <w:sz w:val="24"/>
          <w:szCs w:val="24"/>
          <w:lang w:eastAsia="ru-RU"/>
        </w:rPr>
        <w:drawing>
          <wp:inline distT="0" distB="0" distL="0" distR="0" wp14:anchorId="33A19CC7" wp14:editId="5A0851B0">
            <wp:extent cx="605790" cy="457200"/>
            <wp:effectExtent l="0" t="0" r="3810" b="0"/>
            <wp:docPr id="264" name="Рисунок 264" descr="https://mobile.olimpoks.ru/Prepare/Doc/1035/5/f6b6ea45-8c63-4ce0-8046-f504baab01c2/i/b8820fbe-7ac8-4a11-a253-8c3ad6ea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obile.olimpoks.ru/Prepare/Doc/1035/5/f6b6ea45-8c63-4ce0-8046-f504baab01c2/i/b8820fbe-7ac8-4a11-a253-8c3ad6ea205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косинуса угла </w:t>
      </w:r>
      <w:r w:rsidRPr="003C0CFF">
        <w:rPr>
          <w:rFonts w:eastAsia="Times New Roman" w:cstheme="minorHAnsi"/>
          <w:noProof/>
          <w:color w:val="000000" w:themeColor="text1"/>
          <w:sz w:val="24"/>
          <w:szCs w:val="24"/>
          <w:lang w:eastAsia="ru-RU"/>
        </w:rPr>
        <w:drawing>
          <wp:inline distT="0" distB="0" distL="0" distR="0" wp14:anchorId="0C32AD26" wp14:editId="0F2946FA">
            <wp:extent cx="287020" cy="414655"/>
            <wp:effectExtent l="0" t="0" r="0" b="4445"/>
            <wp:docPr id="263" name="Рисунок 263" descr="https://mobile.olimpoks.ru/Prepare/Doc/1035/5/f6b6ea45-8c63-4ce0-8046-f504baab01c2/i/57cf3d61-4ff7-42f2-8684-9f87f14e0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obile.olimpoks.ru/Prepare/Doc/1035/5/f6b6ea45-8c63-4ce0-8046-f504baab01c2/i/57cf3d61-4ff7-42f2-8684-9f87f14e026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020" cy="4146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между нормалью к этому сечению и направлением пучка лучей и телесного угла </w:t>
      </w:r>
      <w:r w:rsidRPr="003C0CFF">
        <w:rPr>
          <w:rFonts w:eastAsia="Times New Roman" w:cstheme="minorHAnsi"/>
          <w:noProof/>
          <w:color w:val="000000" w:themeColor="text1"/>
          <w:sz w:val="24"/>
          <w:szCs w:val="24"/>
          <w:lang w:eastAsia="ru-RU"/>
        </w:rPr>
        <w:drawing>
          <wp:inline distT="0" distB="0" distL="0" distR="0" wp14:anchorId="3D9492D4" wp14:editId="07D196BA">
            <wp:extent cx="733425" cy="467995"/>
            <wp:effectExtent l="0" t="0" r="9525" b="8255"/>
            <wp:docPr id="262" name="Рисунок 262" descr="https://mobile.olimpoks.ru/Prepare/Doc/1035/5/f6b6ea45-8c63-4ce0-8046-f504baab01c2/i/58960d4b-3b7d-4e93-b935-e7c7cbe2f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obile.olimpoks.ru/Prepare/Doc/1035/5/f6b6ea45-8c63-4ce0-8046-f504baab01c2/i/58960d4b-3b7d-4e93-b935-e7c7cbe2fa27.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3425" cy="46799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E900A88" wp14:editId="46F0B648">
            <wp:extent cx="5358765" cy="680720"/>
            <wp:effectExtent l="0" t="0" r="0" b="5080"/>
            <wp:docPr id="261" name="Рисунок 261" descr="https://mobile.olimpoks.ru/Prepare/Doc/1035/5/f6b6ea45-8c63-4ce0-8046-f504baab01c2/i/1058ebc6-cc85-4636-911c-4565f06d1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obile.olimpoks.ru/Prepare/Doc/1035/5/f6b6ea45-8c63-4ce0-8046-f504baab01c2/i/1058ebc6-cc85-4636-911c-4565f06d165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58765" cy="6807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3.113. Яркость адаптации в подъездной зоне тоннеля </w:t>
      </w:r>
      <w:r w:rsidRPr="003C0CFF">
        <w:rPr>
          <w:rFonts w:eastAsia="Times New Roman" w:cstheme="minorHAnsi"/>
          <w:noProof/>
          <w:color w:val="000000" w:themeColor="text1"/>
          <w:sz w:val="24"/>
          <w:szCs w:val="24"/>
          <w:lang w:eastAsia="ru-RU"/>
        </w:rPr>
        <w:drawing>
          <wp:inline distT="0" distB="0" distL="0" distR="0" wp14:anchorId="1B8DCED0" wp14:editId="2A43AF32">
            <wp:extent cx="605790" cy="446405"/>
            <wp:effectExtent l="0" t="0" r="3810" b="0"/>
            <wp:docPr id="260" name="Рисунок 260" descr="https://mobile.olimpoks.ru/Prepare/Doc/1035/5/f6b6ea45-8c63-4ce0-8046-f504baab01c2/i/a4466395-f062-404c-a6fb-df76be923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obile.olimpoks.ru/Prepare/Doc/1035/5/f6b6ea45-8c63-4ce0-8046-f504baab01c2/i/a4466395-f062-404c-a6fb-df76be923c26.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средняя яркость в коническом поле зрения, стягиваемом углом 20°, с вершиной в месте расположения глаза подъезжающего к тоннелю водителя и осью, направленной на центр въездного портала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яркость адаптации </w:t>
      </w:r>
      <w:r w:rsidRPr="003C0CFF">
        <w:rPr>
          <w:rFonts w:eastAsia="Times New Roman" w:cstheme="minorHAnsi"/>
          <w:noProof/>
          <w:color w:val="000000" w:themeColor="text1"/>
          <w:sz w:val="24"/>
          <w:szCs w:val="24"/>
          <w:lang w:eastAsia="ru-RU"/>
        </w:rPr>
        <w:drawing>
          <wp:inline distT="0" distB="0" distL="0" distR="0" wp14:anchorId="01A4DC65" wp14:editId="2CA7D041">
            <wp:extent cx="605790" cy="446405"/>
            <wp:effectExtent l="0" t="0" r="3810" b="0"/>
            <wp:docPr id="259" name="Рисунок 259" descr="https://mobile.olimpoks.ru/Prepare/Doc/1035/5/f6b6ea45-8c63-4ce0-8046-f504baab01c2/i/a4466395-f062-404c-a6fb-df76be923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obile.olimpoks.ru/Prepare/Doc/1035/5/f6b6ea45-8c63-4ce0-8046-f504baab01c2/i/a4466395-f062-404c-a6fb-df76be923c26.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определяют применительно к водителю, расположенному на РБТ от въездного портала тоннеля в середине соответствующей проезжей части дороги.</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4. ОБЩИЕ ПОЛОЖЕНИЯ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4.1. В настоящем своде правил для помещений нормируется средняя освещенность на условной рабочей поверхности для любых источников света, кроме оговоренных случаев.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Минимальная освещенность на рабочих местах не должна отличаться от нормируемой средней освещенности в помещении более чем на 10 % согласно СанПиН 2.2.4.3359.</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наружного освещения селитебных территорий в настоящем своде правил нормируются освещенность и яркость дорожных покрытий для любых источников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Нормируемые значения освещенности в люксах, отличающиеся на одну ступень, следует принимать по шкале: 0,2; 0,3; 0,5; 1; 2; 3; 4; 5; 6; 7; 10; 15; 20; 30; 40; 50; 75; 100; 150; 200; 300; 400; 500; 600; 750; 1000; 1250; 1500; 2000; 2500; 3000; 3500; 4000; 4500; 5000.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Нормируемые значения яркости поверхности, кд/м², отличающиеся на одну ступень, следует принимать по шкале; 0,2; 0,3; 0,4; 0,6; 0,8; 1; 2; 3; 5; 8; 10; 12; 15; 20; 25; 30; 50; 75; 100; 125; 150; 200; 400; 500; 750; 1000; 1500; 2000; 2500.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естественного освещения в настоящем своде правил приведены значения коэффициента естественной освещенности (КЕО).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 Требования к освещению помещений промышленных предприятий (КЕО, нормируемая освещенность, объединенный показатель дискомфорта и коэффициент пульсации освещенности) следует принимать по таблице 4.1 с учетом требований 7.2.1 и 7.2.2 и по таблице Л.1 приложения 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4.3. Требования к освещению помещений жилых, общественных и административно-бытовых зданий (КЕО, нормируемая освещенность, цилиндрическая освещенность, объединенный показатель дискомфорта и коэффициент пульсации освещенности) следует принимать по таблице 4.2 и по таблице Л.2 приложения 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4.4. При проектировании естественного, искусственного и совмещенного освещения для компенсации спада освещенности в процессе эксплуатации следует вводить коэффициент эксплуатации MF, принимаемый по таблице 4.3.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 Требования к инсоляции и солнцезащите помещений выполняются в соответствии с СанПиН 2.2.1/2.1.1.1076.</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Методики определения продолжительности инсоляции представлены в ГОСТ Р 57795.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(абзац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4.6. Измерения освещенности, яркости, коэффициента пульсации освещенности осветительной установки осуществляются при приемке в эксплуатацию и контроле в процессе эксплуатации за состоянием освещения по ГОСТ 24940, ГОСТ 26824, ГОСТ 33393. Определение объединенного показателя дискомфорта осуществляется на стадии проектирования осветительной установки по ГОСТ 33392.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4.7. При проектировании искусственного и совмещенного освещения следует учитывать данные о профилактическом ультрафиолетовом облучении согласно [5].</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4.1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Требования к освещению помещений промышленных предприятий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71"/>
        <w:gridCol w:w="825"/>
        <w:gridCol w:w="599"/>
        <w:gridCol w:w="1194"/>
        <w:gridCol w:w="464"/>
        <w:gridCol w:w="812"/>
        <w:gridCol w:w="425"/>
        <w:gridCol w:w="579"/>
        <w:gridCol w:w="571"/>
        <w:gridCol w:w="388"/>
        <w:gridCol w:w="422"/>
        <w:gridCol w:w="979"/>
        <w:gridCol w:w="579"/>
        <w:gridCol w:w="979"/>
        <w:gridCol w:w="579"/>
      </w:tblGrid>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зрительной работы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Наименьший или эквивалентный размер объекта различения, мм</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зрительной работы</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Подразряд зрительной работы</w:t>
            </w:r>
          </w:p>
        </w:tc>
        <w:tc>
          <w:tcPr>
            <w:tcW w:w="1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Контраст объекта с фоном</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фона</w:t>
            </w:r>
          </w:p>
        </w:tc>
        <w:tc>
          <w:tcPr>
            <w:tcW w:w="1035" w:type="dxa"/>
            <w:gridSpan w:val="5"/>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w:t>
            </w: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Естественное освещение</w:t>
            </w:r>
          </w:p>
        </w:tc>
        <w:tc>
          <w:tcPr>
            <w:tcW w:w="51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Совмещенное освещение</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00"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лк</w:t>
            </w:r>
          </w:p>
        </w:tc>
        <w:tc>
          <w:tcPr>
            <w:tcW w:w="4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Сочетание нормируемых величин объединенного показателя дискомфорта UGR и коэффициента пульсации</w:t>
            </w:r>
          </w:p>
        </w:tc>
        <w:tc>
          <w:tcPr>
            <w:tcW w:w="1050"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3CED24FB" wp14:editId="70B08E94">
                  <wp:extent cx="340360" cy="308610"/>
                  <wp:effectExtent l="0" t="0" r="2540" b="0"/>
                  <wp:docPr id="258" name="Рисунок 258" descr="https://mobile.olimpoks.ru/Prepare/Doc/1035/5/f6b6ea45-8c63-4ce0-8046-f504baab01c2/i/48e48951-ad13-481b-ae58-a9c852c1c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obile.olimpoks.ru/Prepare/Doc/1035/5/f6b6ea45-8c63-4ce0-8046-f504baab01c2/i/48e48951-ad13-481b-ae58-a9c852c1ceb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0360" cy="3086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7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системе комбинированного освещения</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системе общего освещения</w:t>
            </w:r>
          </w:p>
        </w:tc>
        <w:tc>
          <w:tcPr>
            <w:tcW w:w="4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Всего</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том числе от общего</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UGR, не более</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05AC0BF" wp14:editId="74A13853">
                  <wp:extent cx="425450" cy="382905"/>
                  <wp:effectExtent l="0" t="0" r="0" b="0"/>
                  <wp:docPr id="257" name="Рисунок 257" descr="https://mobile.olimpoks.ru/Prepare/Doc/1035/5/f6b6ea45-8c63-4ce0-8046-f504baab01c2/i/a150148d-095e-4f69-9911-dcab911d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obile.olimpoks.ru/Prepare/Doc/1035/5/f6b6ea45-8c63-4ce0-8046-f504baab01c2/i/a150148d-095e-4f69-9911-dcab911d301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 более</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Наивысшей точности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0,15</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Очень высокой точности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0,15 до 0,30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Средний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3000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 Большой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Высокой точности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0,30 до 0,50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Средней точности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0,5 до 1,0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Малой точности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 до 5</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1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Большой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Светлый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Средний</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Грубая (очень малой точности)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Более 5</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95"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Независимо от характеристик фона и контраста объекта с фоном</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Работа со светящимися материалами и изделиями в горячих цехах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Более 0,5</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9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наблюдение за ходом производственного процесса:</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постоянное;</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49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Независимо от характеристик фона и контраста объекта с фоном</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периодическое при постоянном пребывании людей в помещении;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49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1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r>
      <w:tr w:rsidR="003C0CFF" w:rsidRPr="003C0CFF" w:rsidTr="003C0CFF">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 при периодическом;</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495"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r>
      <w:tr w:rsidR="003C0CFF" w:rsidRPr="003C0CFF" w:rsidTr="003C0CFF">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наблюдение за инженерными коммуникациями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495"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w:t>
            </w:r>
          </w:p>
        </w:tc>
      </w:tr>
      <w:tr w:rsidR="003C0CFF" w:rsidRPr="003C0CFF" w:rsidTr="003C0CFF">
        <w:tc>
          <w:tcPr>
            <w:tcW w:w="3750" w:type="dxa"/>
            <w:gridSpan w:val="15"/>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lastRenderedPageBreak/>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Освещенность следует принимать с учетом 7.2.2 и 7.2.3.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Наименьшие размеры объекта различения и соответствующие им разряды зрительной работы установлены при расположении объектов различения на расстоянии не более 0,5 м от глаз работающего. При увеличении этого расстояния разряд зрительной работы следует устанавливать в соответствии с приложением А. Для протяженных объектов различения при определении нормы освещенности принимается эквивалентный размер по приложению Б.</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Освещенность при работах со светящимися объектами размером 0,5 мм и менее следует выбирать в соответствии с размером объекта различения и относить их к подразряду "в".</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Коэффициент пульсации Kп указан в графе "</w:t>
            </w:r>
            <w:r w:rsidRPr="003C0CFF">
              <w:rPr>
                <w:rFonts w:eastAsia="Times New Roman" w:cstheme="minorHAnsi"/>
                <w:noProof/>
                <w:color w:val="000000" w:themeColor="text1"/>
                <w:sz w:val="24"/>
                <w:szCs w:val="24"/>
                <w:lang w:eastAsia="ru-RU"/>
              </w:rPr>
              <w:drawing>
                <wp:inline distT="0" distB="0" distL="0" distR="0" wp14:anchorId="67FAB94B" wp14:editId="18A356E1">
                  <wp:extent cx="425450" cy="382905"/>
                  <wp:effectExtent l="0" t="0" r="0" b="0"/>
                  <wp:docPr id="256" name="Рисунок 256" descr="https://mobile.olimpoks.ru/Prepare/Doc/1035/5/f6b6ea45-8c63-4ce0-8046-f504baab01c2/i/a150148d-095e-4f69-9911-dcab911d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obile.olimpoks.ru/Prepare/Doc/1035/5/f6b6ea45-8c63-4ce0-8046-f504baab01c2/i/a150148d-095e-4f69-9911-dcab911d301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 более" для системы общего освещения или для светильников местного освещения при системе комбинированного освещения. </w:t>
            </w:r>
            <w:r w:rsidRPr="003C0CFF">
              <w:rPr>
                <w:rFonts w:eastAsia="Times New Roman" w:cstheme="minorHAnsi"/>
                <w:noProof/>
                <w:color w:val="000000" w:themeColor="text1"/>
                <w:sz w:val="24"/>
                <w:szCs w:val="24"/>
                <w:lang w:eastAsia="ru-RU"/>
              </w:rPr>
              <w:drawing>
                <wp:inline distT="0" distB="0" distL="0" distR="0" wp14:anchorId="4D48A70A" wp14:editId="773D1866">
                  <wp:extent cx="425450" cy="382905"/>
                  <wp:effectExtent l="0" t="0" r="0" b="0"/>
                  <wp:docPr id="255" name="Рисунок 255" descr="https://mobile.olimpoks.ru/Prepare/Doc/1035/5/f6b6ea45-8c63-4ce0-8046-f504baab01c2/i/a150148d-095e-4f69-9911-dcab911d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obile.olimpoks.ru/Prepare/Doc/1035/5/f6b6ea45-8c63-4ce0-8046-f504baab01c2/i/a150148d-095e-4f69-9911-dcab911d301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 общего освещения в системе комбинированного не должен превышать 20 %.</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Предусматривать систему общего освещения для разрядов I - III, IVa, IVб, IVв, Vа разрешается только при технической невозможности применения системы комбинированного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В районах с температурой наиболее холодной пятидневки по СП 131.13330.2012 минус 28 °C и ниже нормированные значения КЕО при совмещенном освещении следует принимать по таблице 6.1.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 В помещениях, специально предназначенных для работы или производственного обучения подростков, нормированное значение КЕО повышается на один разряд, но должно быть не менее 1,0 %.</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4.2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Требования к освещению помещений жилых и общественных зданий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7"/>
        <w:gridCol w:w="868"/>
        <w:gridCol w:w="631"/>
        <w:gridCol w:w="1256"/>
        <w:gridCol w:w="1104"/>
        <w:gridCol w:w="769"/>
        <w:gridCol w:w="986"/>
        <w:gridCol w:w="827"/>
        <w:gridCol w:w="1163"/>
        <w:gridCol w:w="1030"/>
        <w:gridCol w:w="475"/>
      </w:tblGrid>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зрительной работы</w:t>
            </w:r>
          </w:p>
        </w:tc>
        <w:tc>
          <w:tcPr>
            <w:tcW w:w="4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Наименьший или эквивалентный размер объекта различения, мм</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зрительной работы</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Подразряд зрительной работы</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Относительная продолжительность зрительной работы при направлении зрения на рабочую поверхность, %</w:t>
            </w:r>
          </w:p>
        </w:tc>
        <w:tc>
          <w:tcPr>
            <w:tcW w:w="1155"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w:t>
            </w:r>
          </w:p>
        </w:tc>
        <w:tc>
          <w:tcPr>
            <w:tcW w:w="4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Естественное освещение</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на рабочей поверхности от системы общего освещения, лк</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цилиндрическая освещенность, лк</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объединенный показатель UGR, не более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w:t>
            </w:r>
            <w:r w:rsidRPr="003C0CFF">
              <w:rPr>
                <w:rFonts w:eastAsia="Times New Roman" w:cstheme="minorHAnsi"/>
                <w:noProof/>
                <w:color w:val="000000" w:themeColor="text1"/>
                <w:sz w:val="24"/>
                <w:szCs w:val="24"/>
                <w:lang w:eastAsia="ru-RU"/>
              </w:rPr>
              <w:drawing>
                <wp:inline distT="0" distB="0" distL="0" distR="0" wp14:anchorId="7DDE053A" wp14:editId="497B6BCB">
                  <wp:extent cx="425450" cy="382905"/>
                  <wp:effectExtent l="0" t="0" r="0" b="0"/>
                  <wp:docPr id="254" name="Рисунок 254" descr="https://mobile.olimpoks.ru/Prepare/Doc/1035/5/f6b6ea45-8c63-4ce0-8046-f504baab01c2/i/a150148d-095e-4f69-9911-dcab911d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obile.olimpoks.ru/Prepare/Doc/1035/5/f6b6ea45-8c63-4ce0-8046-f504baab01c2/i/a150148d-095e-4f69-9911-dcab911d301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 более</w:t>
            </w:r>
          </w:p>
        </w:tc>
        <w:tc>
          <w:tcPr>
            <w:tcW w:w="4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1EE32FFA" wp14:editId="0CB44C83">
                  <wp:extent cx="340360" cy="308610"/>
                  <wp:effectExtent l="0" t="0" r="2540" b="0"/>
                  <wp:docPr id="253" name="Рисунок 253" descr="https://mobile.olimpoks.ru/Prepare/Doc/1035/5/f6b6ea45-8c63-4ce0-8046-f504baab01c2/i/48e48951-ad13-481b-ae58-a9c852c1c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obile.olimpoks.ru/Prepare/Doc/1035/5/f6b6ea45-8c63-4ce0-8046-f504baab01c2/i/48e48951-ad13-481b-ae58-a9c852c1ceb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0360" cy="3086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при</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верхнем или комбинированном</w:t>
            </w:r>
          </w:p>
        </w:tc>
        <w:tc>
          <w:tcPr>
            <w:tcW w:w="1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боковом</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Различение объектов при фиксированной и нефиксированной линии зрения:</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очень высокой точности</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0,15 до 0,30</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 &lt;*&gt;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&lt;*&gt;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высокой точности</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0,30 до 0,50</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&lt;*&gt;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 &lt;*&gt;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&lt;***&gt;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средней точности</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Более 0,5</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&lt;*&gt;</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&lt;***&gt;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70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регламентируется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&lt;**&gt;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&lt;***&gt;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Обзор окружающего пространства при очень кратковременном, эпизодическом различении объектов:</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Независимо от размера объекта различения</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Независимо от продолжительности зрительной работы</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регламентируется</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высокой насыщенности помещений светом</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нормальной насыщенности помещений светом</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низкой насыщенности помещений светом</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ориентирование в пространстве интерьера:</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320" w:type="dxa"/>
            <w:gridSpan w:val="5"/>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регламентируется</w:t>
            </w: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большом скоплении людей</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малом скоплении людей</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ориентирование в зонах передвижения:</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большом скоплении людей</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малом скоплении людей</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&lt;*&gt; Дополнительно регламентируется в случаях специальных архитектурно-художественных требований.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&lt;**&gt; Нормируемое значение объединенного показателя дискомфорта в помещениях при направлении линии зрения вверх под углом 45° и более к горизонту и в помещениях с повышенными требованиями к качеству освещения (спальные комнаты в дошкольных образовательных организациях, санаториях, дисплейные классы в общеобразовательных и профессиональных образовательных организациях и т. п.).</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&lt;***&gt; Нормируемое значение коэффициента пульсации </w:t>
            </w:r>
            <w:r w:rsidRPr="003C0CFF">
              <w:rPr>
                <w:rFonts w:eastAsia="Times New Roman" w:cstheme="minorHAnsi"/>
                <w:noProof/>
                <w:color w:val="000000" w:themeColor="text1"/>
                <w:sz w:val="24"/>
                <w:szCs w:val="24"/>
                <w:lang w:eastAsia="ru-RU"/>
              </w:rPr>
              <w:drawing>
                <wp:inline distT="0" distB="0" distL="0" distR="0" wp14:anchorId="7BE7E406" wp14:editId="0A23C15B">
                  <wp:extent cx="425450" cy="382905"/>
                  <wp:effectExtent l="0" t="0" r="0" b="0"/>
                  <wp:docPr id="252" name="Рисунок 252" descr="https://mobile.olimpoks.ru/Prepare/Doc/1035/5/f6b6ea45-8c63-4ce0-8046-f504baab01c2/i/a150148d-095e-4f69-9911-dcab911d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obile.olimpoks.ru/Prepare/Doc/1035/5/f6b6ea45-8c63-4ce0-8046-f504baab01c2/i/a150148d-095e-4f69-9911-dcab911d301e.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450" cy="3829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детских, лечебных помещений с повышенными требованиями к качеству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Освещенность следует принимать с учетом 7.3.3 и 7.3.4 настоящего свода правил.</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Наименьшие размеры объекта различения и соответствующие им разряды зрительной работы устанавливаются при расположении объектов различения на расстоянии не более 0,5 м от работающего при среднем контрасте объекта различения с фоном и светлым фоном. При уменьшении (увеличении) контраста допускается увеличение (уменьшение) освещенности на одну ступень по шкале освещенности в соответствии с 4.1.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Связь объединенного показателя дискомфорта UGR с показателем дискомфорта M, нормируемым СанПиН 2.2.1/2.1.1.1278, показана в разделе 3.</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4.3</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Коэффициенты эксплуатации для естественного и искусственного освещения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0"/>
        <w:gridCol w:w="2008"/>
        <w:gridCol w:w="632"/>
        <w:gridCol w:w="632"/>
        <w:gridCol w:w="632"/>
        <w:gridCol w:w="1058"/>
        <w:gridCol w:w="1058"/>
        <w:gridCol w:w="1058"/>
        <w:gridCol w:w="1058"/>
      </w:tblGrid>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Помещения и территории</w:t>
            </w:r>
          </w:p>
        </w:tc>
        <w:tc>
          <w:tcPr>
            <w:tcW w:w="9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Примеры помещений</w:t>
            </w:r>
          </w:p>
        </w:tc>
        <w:tc>
          <w:tcPr>
            <w:tcW w:w="7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w:t>
            </w:r>
          </w:p>
        </w:tc>
        <w:tc>
          <w:tcPr>
            <w:tcW w:w="990"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Естественное освещение</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эксплуатации MF</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Число чисток светильников в год</w:t>
            </w:r>
          </w:p>
        </w:tc>
        <w:tc>
          <w:tcPr>
            <w:tcW w:w="990"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эксплуатации MF</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___________________</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Число чисток остекления светопроемов в год</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Эксплуатационная группа светильников по приложению Д</w:t>
            </w:r>
          </w:p>
        </w:tc>
        <w:tc>
          <w:tcPr>
            <w:tcW w:w="990"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Угол наклона светопропускающего материала к горизонту</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1 - 4</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5 - 6</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 - 15°</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 - 45°</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46° - 75°</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 - 90°</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Производственные помещения с воздушной средой, содержащей в рабочей зоне:</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св. 5 мг/м³ пыли, дыма, копоти</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Агломерационные фабрики, цементные заводы и обрубные отделения литейных цехов</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от 1 до 5 мг/м³ пыли, дыма, копоти</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Цехи кузнечные, литейные, мартеновские, сборного железобетона</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менее 1 мг/м³ пыли, дыма, копоти</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Цехи инструментальные, сборочные, технические, механосборочные, пошивочные</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значительные концентрации паров, кислот, щелочей, газов, способных при соприкосновении с влагой образовывать слабые растворы кислот, щелочей, а также обладающих большой корродирующей способностью</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Цехи химических заводов по выработке кислот, щелочей, едких химических реактивов, ядохимикатов, удобрений, цехи гальванических покрытий и различных отраслей промышленности с применением электролиза</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Производственные помещения с особым режимом по чистоте воздуха при обслуживании светильников:</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технического этажа</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снизу из помещения</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Помещения общественных и жилых зданий:</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пыльные, жаркие и сырые</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Горячие цехи предприятий общественного питания, охлаждаемые камеры, помещения для приготовления растворов в прачечных, душевые и т. д.</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 нормальными условиями среды</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Кабинеты и рабочие помещения, офисные помещения, жилые комнаты, учебные помещения, лаборатории, читальные залы, залы совещаний, торговые залы и т. д.</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Территории с воздушной средой, содержащей:</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большое количество пыли (более 1 мг/м³)</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Территории металлургических, химических, горнодобывающих предприятий, шахт, рудников, железнодорожных станций и прилегающих к ним улиц и дорог</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малое количество пыли (менее 1 мг/м³)</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Территории промышленных предприятий, кроме указанных в перечислении а) и общественных зданий</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Населенные пункты</w:t>
            </w: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Улицы, площади, дороги, территории жилых районов, парки, бульвары, пешеходные тоннели, фасады зданий, памятники</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0,63</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10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тоннели</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0,59</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9"/>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Значения коэффициента эксплуатации, указанные в графе "Естественное освещение", следует умножать на 0,91 - при применении узорчатого стекла, стеклопластика, армированной пленки и матированного стекла, а также при использовании световых проемов для аэрации, на 1,11 - при применении органического стекла.</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Значения коэффициентов эксплуатации, указанные в графе "1 - 4", следует увеличивать при односменной работе по перечислениям б) и г) пункта 1 - на 0,2; по перечислению в) пункта 1 - на 0,1; при двухсменной работе по перечислениям б) и г) пункта 1 - на 0,15.</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Значения коэффициента эксплуатации и число чисток для транспортных тоннелей, указанные в графах "5 - 6" и "7", приведены с учетом использования только светильников конструктивно-светотехнической схемы IV таблицы Д.1 приложения Д.</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Коэффициент эксплуатации при применении световых приборов со светодиодами следует умножать на коэффициент 1,05.</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Допускается использовать расчетный коэффициент эксплуатации.</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5. ЕСТЕСТВЕННОЕ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 Помещения с постоянным пребыванием людей должны иметь естественное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Без естественного освещения допускается проектировать помещения с временным пребыванием людей, помещения, которые определены соответствующими сводами правил и стандартами организаций на проектирование зданий и сооружений, а также помещения, размещение которых разрешено в подвальных этажах зданий и сооружений.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5.2. Естественное освещение подразделяется на боковое, верхнее и комбинированное (верхнее и боковое).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Световоды естественного света допускается применять для естественного освещения помещений только в системе комбинированного освещения в качестве верхнего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 При двустороннем боковом освещении помещений любого назначения нормируемое значение КЕО должно быть обеспечено в расчетной точке в центре помещения на пересечении вертикальной плоскости характерного разреза и рабочей поверхности.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жилых и общественных зданиях при одностороннем боковом освещении нормируемое значение КЕО должно быть обеспечено: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жилых помещениях жилых зданий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 в одной комнате для 1-, 2- и 3-комнатных квартир и в двух комнатах для 4-комнатных и более квартир.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остальных жилых помещениях многокомнатных квартир и кухне нормируемое значение КЕО при боковом освещении должно обеспечиваться в расчетной точке, расположенной в центре помещения на плоскости пола;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 жилых помещениях общежитий, гостиных и номеров гостиниц - в расчетной точке, расположенной на пересечении вертикальной плоскости характерного разреза помещения и плоскости пола в центре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в групповых и игровых помещениях дошкольных образовательных организаций, изоляторах и комнатах для заболевших детей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 учебных и учебно-производственных помещениях общеобразовательных организаций, интернатов, профессиональных образовательных организаций - в расчетной точке, расположенной на пересечении вертикальной плоскости характерного разреза помещения и условной рабочей поверхности на расстоянии 1,2 м от стены, наиболее удаленной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в палатах и спальных комнатах санаториев и домов отдыха и пансионатов -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 в кабинетах врачей, ведущих прием больных, в смотровых, в приемно-смотровых боксах, перевязочных - в расчетной точке, расположенной на пересечении вертикальной плоскости характерного разреза помещения и условной рабочей поверхности в центре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 в остальных помещениях жилых и общественных зданий - в расчетной точке, расположенной в центре помещения на рабочей поверхности.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5.3а. В помещениях непрямоугольной формы положение расчетной точки определяется с учетом приведения формы помещения к прямоугольнику.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помещениях небольшой глубины с двумя и более светопроемами плоскость характерного разреза допускается проводить по оси каждого светопроема. Нормируемое значение КЕО в этом случае должно обеспечиваться в расчетной точке на плоскости каждого характерного разреза.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5.3а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5.3б. В помещениях общественных зданий за исключением помещений, указанных в 5.3, перечисления в) - е), допускается деление помещений на зоны с достаточным и недостаточным естественным освещением. Глубина зоны с достаточным естественным освещением определяется как двойное расстояние от внутренней поверхности стены со светопроемами до точки с нормируемым значением КЕО.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5.3б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5.4. В производственных помещениях глубиной до 6,0 м при одностороннем боковом освещении нормируется минимальное значение КЕО в точке, расположенной на пересечении вертикальной плоскости характерного разреза помещения и условной рабочей поверхности на расстоянии 1,0 м от стены или линии максимального заглубления зоны, наиболее удаленной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крупногабаритных производственных помещениях глубиной более 6,0 м при боковом освещении нормируется минимальное значение КЕО в точке на условной рабочей поверхности, удаленной от световых проемов: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1,5 высоты от пола до верха светопроемов - для зрительных работ разрядов I - IV;</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2,0 высоты от пола до верха светопроемов - для зрительных работ разрядов V - VII разрядов;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3,0 высоты от пола до верха светопроемов - для зрительных работ разряда VIII.</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 При верхнем или комбинированном естественном освещении помещений любого назначения нормируется среднее значение КЕО в точках, расположенных на пересечении вертикальной плоскости характерного разреза помещения и условной рабочей поверхности (или пола). Первая и последняя точки принимаются на расстоянии 1 м от поверхности стен (перегородок) или осей колонн.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5.6. Разрешается деление помещений на зоны с боковым освещением (зоны, примыкающие к наружным стенам с окнами) и зоны с верхним освещением. Нормирование и расчет естественного освещения в каждой зоне проводятся независимо друг от друга.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5.7. В производственных помещениях со зрительными работами разрядов I - III следует применять совмещенное освещение. Разрешается применение верхнего естественного освещения в крупнопролетных сборочных цехах, в которых работы выполняются в значительной части объема помещения на разных уровнях пола и на различно ориентированных в пространстве рабочих поверхностях. При этом для разрядов I - III применяются нормированные значения КЕО 10 %; 7 %; 5 % соответственно.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5.8. При проектировании естественного освещения определяют расчетные значения КЕО </w:t>
      </w:r>
      <w:r w:rsidRPr="003C0CFF">
        <w:rPr>
          <w:rFonts w:eastAsia="Times New Roman" w:cstheme="minorHAnsi"/>
          <w:noProof/>
          <w:color w:val="000000" w:themeColor="text1"/>
          <w:sz w:val="24"/>
          <w:szCs w:val="24"/>
          <w:lang w:eastAsia="ru-RU"/>
        </w:rPr>
        <w:drawing>
          <wp:inline distT="0" distB="0" distL="0" distR="0" wp14:anchorId="18BD6740" wp14:editId="352EB5A7">
            <wp:extent cx="351155" cy="351155"/>
            <wp:effectExtent l="0" t="0" r="0" b="0"/>
            <wp:docPr id="251" name="Рисунок 251" descr="https://mobile.olimpoks.ru/Prepare/Doc/1035/5/f6b6ea45-8c63-4ce0-8046-f504baab01c2/i/03972d84-3758-4288-9e17-e8d2aee33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obile.olimpoks.ru/Prepare/Doc/1035/5/f6b6ea45-8c63-4ce0-8046-f504baab01c2/i/03972d84-3758-4288-9e17-e8d2aee3315c.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Расчетное значение КЕО должно быть не менее нормируемого значения </w:t>
      </w:r>
      <w:r w:rsidRPr="003C0CFF">
        <w:rPr>
          <w:rFonts w:eastAsia="Times New Roman" w:cstheme="minorHAnsi"/>
          <w:noProof/>
          <w:color w:val="000000" w:themeColor="text1"/>
          <w:sz w:val="24"/>
          <w:szCs w:val="24"/>
          <w:lang w:eastAsia="ru-RU"/>
        </w:rPr>
        <w:drawing>
          <wp:inline distT="0" distB="0" distL="0" distR="0" wp14:anchorId="5BFB925F" wp14:editId="5D2B2405">
            <wp:extent cx="403860" cy="287020"/>
            <wp:effectExtent l="0" t="0" r="0" b="0"/>
            <wp:docPr id="250" name="Рисунок 250" descr="https://mobile.olimpoks.ru/Prepare/Doc/1035/5/f6b6ea45-8c63-4ce0-8046-f504baab01c2/i/71705559-870f-4e49-b161-eaf929999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obile.olimpoks.ru/Prepare/Doc/1035/5/f6b6ea45-8c63-4ce0-8046-f504baab01c2/i/71705559-870f-4e49-b161-eaf929999c4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3860"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приведенного в таблицах 4.1, 4.2 или приложении Л:</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B11C807" wp14:editId="5433AA2E">
            <wp:extent cx="351155" cy="351155"/>
            <wp:effectExtent l="0" t="0" r="0" b="0"/>
            <wp:docPr id="249" name="Рисунок 249" descr="https://mobile.olimpoks.ru/Prepare/Doc/1035/5/f6b6ea45-8c63-4ce0-8046-f504baab01c2/i/03972d84-3758-4288-9e17-e8d2aee33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obile.olimpoks.ru/Prepare/Doc/1035/5/f6b6ea45-8c63-4ce0-8046-f504baab01c2/i/03972d84-3758-4288-9e17-e8d2aee3315c.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5D14874B" wp14:editId="77972741">
            <wp:extent cx="403860" cy="287020"/>
            <wp:effectExtent l="0" t="0" r="0" b="0"/>
            <wp:docPr id="248" name="Рисунок 248" descr="https://mobile.olimpoks.ru/Prepare/Doc/1035/5/f6b6ea45-8c63-4ce0-8046-f504baab01c2/i/71705559-870f-4e49-b161-eaf929999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mobile.olimpoks.ru/Prepare/Doc/1035/5/f6b6ea45-8c63-4ce0-8046-f504baab01c2/i/71705559-870f-4e49-b161-eaf929999c4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3860"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(5.1)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Параметры, входящие в формулу расчетного значения КЕО, определены в разделе 3. Расчетное значение КЕО учитывает коэффициент эксплуатации MF и коэффициент светового климата </w:t>
      </w:r>
      <w:r w:rsidRPr="003C0CFF">
        <w:rPr>
          <w:rFonts w:eastAsia="Times New Roman" w:cstheme="minorHAnsi"/>
          <w:noProof/>
          <w:color w:val="000000" w:themeColor="text1"/>
          <w:sz w:val="24"/>
          <w:szCs w:val="24"/>
          <w:lang w:eastAsia="ru-RU"/>
        </w:rPr>
        <w:drawing>
          <wp:inline distT="0" distB="0" distL="0" distR="0" wp14:anchorId="7CC9CEBD" wp14:editId="650D18AD">
            <wp:extent cx="520700" cy="425450"/>
            <wp:effectExtent l="0" t="0" r="0" b="0"/>
            <wp:docPr id="247" name="Рисунок 247" descr="https://mobile.olimpoks.ru/Prepare/Doc/1035/5/f6b6ea45-8c63-4ce0-8046-f504baab01c2/i/9cb81a4f-fc8c-4fb3-85b3-f820d5023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mobile.olimpoks.ru/Prepare/Doc/1035/5/f6b6ea45-8c63-4ce0-8046-f504baab01c2/i/9cb81a4f-fc8c-4fb3-85b3-f820d5023db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00" cy="4254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Коэффициенты эксплуатации принимают по таблице 4.3. Коэффициенты светового климата принимают по таблице 5.1 в зависимости от номера группы обеспеченности естественным светом административных районов и ориентации светопроемов. Районирование территории Российской Федерации по ресурсам светового климата приведено в приложении 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5.9. Расчет естественного освещения помещений проводится без учета мебели, оборудования, озеленения и других затеняющих предметов, а также при 100%-ном использовании светопрозрачных заполнений в светопроемах. Расчетные значения КЕО следует округлять до двух знаков после запятой.</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5.1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Коэффициенты светового климата в зависимости от группы административного района и ориентации световых проемов по сторонам горизонта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29"/>
        <w:gridCol w:w="1244"/>
        <w:gridCol w:w="345"/>
        <w:gridCol w:w="425"/>
        <w:gridCol w:w="425"/>
        <w:gridCol w:w="425"/>
        <w:gridCol w:w="425"/>
      </w:tblGrid>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Световые проемы</w:t>
            </w:r>
          </w:p>
        </w:tc>
        <w:tc>
          <w:tcPr>
            <w:tcW w:w="8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Ориентация световых проемов по сторонам горизонта</w:t>
            </w:r>
          </w:p>
        </w:tc>
        <w:tc>
          <w:tcPr>
            <w:tcW w:w="1725" w:type="dxa"/>
            <w:gridSpan w:val="5"/>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светового климата m</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725" w:type="dxa"/>
            <w:gridSpan w:val="5"/>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Номер группы административных районов</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3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3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3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наружных стенах зданий</w:t>
            </w: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СВ-СЗ</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З-В</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ЮВ-ЮЗ</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1,18</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Ю</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1,18</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1,33</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прямоугольных и трапециевидных фонарях</w:t>
            </w: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С-Ю</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1,33</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СВ-ЮЗ</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1,43</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ЮВ-СЗ</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В-З</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1,43</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фонарях типа "шед"</w:t>
            </w: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1,43</w:t>
            </w:r>
          </w:p>
        </w:tc>
      </w:tr>
      <w:tr w:rsidR="003C0CFF" w:rsidRPr="003C0CFF" w:rsidTr="003C0CFF">
        <w:tc>
          <w:tcPr>
            <w:tcW w:w="11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зенитных фонарях</w:t>
            </w:r>
          </w:p>
        </w:tc>
        <w:tc>
          <w:tcPr>
            <w:tcW w:w="8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0,83</w:t>
            </w:r>
          </w:p>
        </w:tc>
        <w:tc>
          <w:tcPr>
            <w:tcW w:w="3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1,33</w:t>
            </w:r>
          </w:p>
        </w:tc>
      </w:tr>
      <w:tr w:rsidR="003C0CFF" w:rsidRPr="003C0CFF" w:rsidTr="003C0CFF">
        <w:tc>
          <w:tcPr>
            <w:tcW w:w="3750" w:type="dxa"/>
            <w:gridSpan w:val="7"/>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С - север; СВ - северо-восток; СЗ - северо-запад; В - восток; З - запад; С-Ю - север-юг; В-З - восток-запад; Ю - юг; ЮВ - юго-восток; ЮЗ - юго-запад.</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Группы административных районов Российской Федерации по ресурсам светового климата приведены в приложении Е.</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Разрешается снижение расчетного значения КЕО </w:t>
      </w:r>
      <w:r w:rsidRPr="003C0CFF">
        <w:rPr>
          <w:rFonts w:eastAsia="Times New Roman" w:cstheme="minorHAnsi"/>
          <w:noProof/>
          <w:color w:val="000000" w:themeColor="text1"/>
          <w:sz w:val="24"/>
          <w:szCs w:val="24"/>
          <w:lang w:eastAsia="ru-RU"/>
        </w:rPr>
        <w:drawing>
          <wp:inline distT="0" distB="0" distL="0" distR="0" wp14:anchorId="427893F7" wp14:editId="26D152E2">
            <wp:extent cx="351155" cy="351155"/>
            <wp:effectExtent l="0" t="0" r="0" b="0"/>
            <wp:docPr id="246" name="Рисунок 246" descr="https://mobile.olimpoks.ru/Prepare/Doc/1035/5/f6b6ea45-8c63-4ce0-8046-f504baab01c2/i/03972d84-3758-4288-9e17-e8d2aee33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obile.olimpoks.ru/Prepare/Doc/1035/5/f6b6ea45-8c63-4ce0-8046-f504baab01c2/i/03972d84-3758-4288-9e17-e8d2aee3315c.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по сравнению с нормируемым КЕО </w:t>
      </w:r>
      <w:r w:rsidRPr="003C0CFF">
        <w:rPr>
          <w:rFonts w:eastAsia="Times New Roman" w:cstheme="minorHAnsi"/>
          <w:noProof/>
          <w:color w:val="000000" w:themeColor="text1"/>
          <w:sz w:val="24"/>
          <w:szCs w:val="24"/>
          <w:lang w:eastAsia="ru-RU"/>
        </w:rPr>
        <w:drawing>
          <wp:inline distT="0" distB="0" distL="0" distR="0" wp14:anchorId="47656E02" wp14:editId="193A2EA0">
            <wp:extent cx="403860" cy="308610"/>
            <wp:effectExtent l="0" t="0" r="0" b="0"/>
            <wp:docPr id="245" name="Рисунок 245" descr="https://mobile.olimpoks.ru/Prepare/Doc/1035/5/f6b6ea45-8c63-4ce0-8046-f504baab01c2/i/ec9a381a-f0b8-4b67-bbbb-58970ab07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obile.olimpoks.ru/Prepare/Doc/1035/5/f6b6ea45-8c63-4ce0-8046-f504baab01c2/i/ec9a381a-f0b8-4b67-bbbb-58970ab079b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более чем на 10 %.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5.10. Расчетное значение средневзвешенного коэффициента отражения внутренних поверхностей помещения при расчетах естественного освещения следует принимать равным в жилых и общественных помещениях - 0,55, а в производственных помещениях - 0,50.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5.11. При расчете естественного освещения помещений в условиях застройки коэффициент отражения строительных и облицовочных материалов </w:t>
      </w:r>
      <w:r w:rsidRPr="003C0CFF">
        <w:rPr>
          <w:rFonts w:eastAsia="Times New Roman" w:cstheme="minorHAnsi"/>
          <w:noProof/>
          <w:color w:val="000000" w:themeColor="text1"/>
          <w:sz w:val="24"/>
          <w:szCs w:val="24"/>
          <w:lang w:eastAsia="ru-RU"/>
        </w:rPr>
        <w:drawing>
          <wp:inline distT="0" distB="0" distL="0" distR="0" wp14:anchorId="681B792E" wp14:editId="0104B760">
            <wp:extent cx="425450" cy="351155"/>
            <wp:effectExtent l="0" t="0" r="0" b="0"/>
            <wp:docPr id="244" name="Рисунок 244" descr="https://mobile.olimpoks.ru/Prepare/Doc/1035/5/f6b6ea45-8c63-4ce0-8046-f504baab01c2/i/7398fbb6-6747-4c2e-a09e-dd7d0aec6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obile.olimpoks.ru/Prepare/Doc/1035/5/f6b6ea45-8c63-4ce0-8046-f504baab01c2/i/7398fbb6-6747-4c2e-a09e-dd7d0aec6c7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45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фасадов противостоящих зданий (без остекленных проемов фасада) следует принимать: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строящихся зданий - по данным, приведенным в сертификате на отделочный материал фасада, или по данным измерений;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существующей застройки - по таблицам Г.2, Г.3 приложения Г.</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Средневзвешенный коэффициент отражения остекленных проемов фасада с учетом переплетов в расчетах принимается равным 0,2 или расчетному средневзвешенному коэффициенту отражения оконного блока, определенному по формуле (Г.1) приложения Г.</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Средневзвешенный коэффициент отражения фасада </w:t>
      </w:r>
      <w:r w:rsidRPr="003C0CFF">
        <w:rPr>
          <w:rFonts w:eastAsia="Times New Roman" w:cstheme="minorHAnsi"/>
          <w:noProof/>
          <w:color w:val="000000" w:themeColor="text1"/>
          <w:sz w:val="24"/>
          <w:szCs w:val="24"/>
          <w:lang w:eastAsia="ru-RU"/>
        </w:rPr>
        <w:drawing>
          <wp:inline distT="0" distB="0" distL="0" distR="0" wp14:anchorId="2CFB934D" wp14:editId="4A4EB801">
            <wp:extent cx="425450" cy="446405"/>
            <wp:effectExtent l="0" t="0" r="0" b="0"/>
            <wp:docPr id="243" name="Рисунок 243" descr="https://mobile.olimpoks.ru/Prepare/Doc/1035/5/f6b6ea45-8c63-4ce0-8046-f504baab01c2/i/072ceaa0-19ed-49dc-9064-9e6ff8e21a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obile.olimpoks.ru/Prepare/Doc/1035/5/f6b6ea45-8c63-4ce0-8046-f504baab01c2/i/072ceaa0-19ed-49dc-9064-9e6ff8e21a6a.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5450"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с учетом остекленных проемов следует рассчитывать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8F5EB32" wp14:editId="1D4CC3D1">
            <wp:extent cx="3689350" cy="2030730"/>
            <wp:effectExtent l="0" t="0" r="6350" b="7620"/>
            <wp:docPr id="242" name="Рисунок 242" descr="https://mobile.olimpoks.ru/Prepare/Doc/1035/5/f6b6ea45-8c63-4ce0-8046-f504baab01c2/i/4657a43d-f41b-44ff-b023-6ab13ff88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obile.olimpoks.ru/Prepare/Doc/1035/5/f6b6ea45-8c63-4ce0-8046-f504baab01c2/i/4657a43d-f41b-44ff-b023-6ab13ff8821c.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89350" cy="20307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(5.2)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2500FCEC" wp14:editId="31F3B4F7">
            <wp:extent cx="499745" cy="393700"/>
            <wp:effectExtent l="0" t="0" r="0" b="6350"/>
            <wp:docPr id="241" name="Рисунок 241" descr="https://mobile.olimpoks.ru/Prepare/Doc/1035/5/f6b6ea45-8c63-4ce0-8046-f504baab01c2/i/4b4c1677-594a-4f98-8930-06c614e1c6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obile.olimpoks.ru/Prepare/Doc/1035/5/f6b6ea45-8c63-4ce0-8046-f504baab01c2/i/4b4c1677-594a-4f98-8930-06c614e1c6fd.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974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6D72294A" wp14:editId="4FA6F99D">
            <wp:extent cx="520700" cy="393700"/>
            <wp:effectExtent l="0" t="0" r="0" b="6350"/>
            <wp:docPr id="240" name="Рисунок 240" descr="https://mobile.olimpoks.ru/Prepare/Doc/1035/5/f6b6ea45-8c63-4ce0-8046-f504baab01c2/i/8f9ed2a5-5d82-458d-a1a6-53736b471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obile.olimpoks.ru/Prepare/Doc/1035/5/f6b6ea45-8c63-4ce0-8046-f504baab01c2/i/8f9ed2a5-5d82-458d-a1a6-53736b471ce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0700"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отражения материала отделки фасада и коэффициент отражения остекленных проемов фасада с учетом переплетов соответственно;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3C2CE15" wp14:editId="7368D17E">
            <wp:extent cx="457200" cy="499745"/>
            <wp:effectExtent l="0" t="0" r="0" b="0"/>
            <wp:docPr id="239" name="Рисунок 239" descr="https://mobile.olimpoks.ru/Prepare/Doc/1035/5/f6b6ea45-8c63-4ce0-8046-f504baab01c2/i/103082ab-7f17-43ca-8d2e-c0e90ee9f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obile.olimpoks.ru/Prepare/Doc/1035/5/f6b6ea45-8c63-4ce0-8046-f504baab01c2/i/103082ab-7f17-43ca-8d2e-c0e90ee9fd4f.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 cy="4997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1739D51F" wp14:editId="20B1D3F7">
            <wp:extent cx="499745" cy="457200"/>
            <wp:effectExtent l="0" t="0" r="0" b="0"/>
            <wp:docPr id="238" name="Рисунок 238" descr="https://mobile.olimpoks.ru/Prepare/Doc/1035/5/f6b6ea45-8c63-4ce0-8046-f504baab01c2/i/576fe53b-6bc9-4f8f-ac71-d72d725d5f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obile.olimpoks.ru/Prepare/Doc/1035/5/f6b6ea45-8c63-4ce0-8046-f504baab01c2/i/576fe53b-6bc9-4f8f-ac71-d72d725d5f2a.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площадь фасада без светопроемов и площадь светопроемов соответственно.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5.12. В общеобразовательных организациях и организациях профессионального и высшего образования следует применять совмещенное освещение, нормы которого приведены в таблице Л.1 приложения 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5.12 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5.13. Равномерность естественного освещения производственных и общественных зданий с верхним или комбинированным освещением должна быть не более 1:3. Расчетное значение КЕО при верхнем и комбинированном естественном освещении в любой точке на линии пересечения условной рабочей поверхности и вертикальной плоскости характерного разреза должно быть не менее нормируемого значения КЕО при боковом освещении для зрительных работ соответствующих разрядов.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Равномерность естественного освещения не нормируется для производственных помещений с боковым освещением; производственных помещений, в которых выполняются зрительные работы разрядов VII и VIII при верхнем или верхнем и боковом освещении; вспомогательных помещений и помещений общественных зданий, в которых выполняются зрительные работы разрядов Г и Д.</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5.14. Расчет естественного освещения помещений общественных зданий проводят по методике СП 367.1325800, помещений производственных зданий - СП 419.1325800.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5.14 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5.15. Применяемые для бокового естественного освещения оконные и балконные конструкции проектируются с учетом требований ГОСТ 23166 и ГОСТ Р 56926. Фасадные светопрозрачные конструкции проектируются в соответствии с требованиями СП 426.1325800. Светопрозрачные покрытия и фонари для верхнего естественного освещения проектируются в соответствии с требованиями СП 363.1325800.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5.15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6. СОВМЕЩЕННОЕ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6.1. Совмещенное освещение помещений производственных зданий следует предусматривать: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для производственных помещений, в которых выполняются зрительные работы разрядов I - III;</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для производственных и других помещений в случаях, когда по условиям технологии, организации производства или климата в месте строительства требуются объемно-планировочные решения, которые не позволяют обеспечить нормируемое значение КЕО (многоэтажные здания большой ширины, одноэтажные многопролетные здания с пролетами большой ширины и т. п.), а также в случаях, когда технико-экономическая целесообразность совмещенного освещения по сравнению с естественным подтверждена соответствующими расчетами;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в соответствии с нормативными документами по проектированию зданий и сооружений отдельных отраслей промышленности, утвержденными в установленном порядке.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Совмещенное освещение помещений жилых, общественных и административно-бытовых зданий разрешается в случаях, когда это требуется по условиям выбора рациональных объемно-планировочных решений, за исключением жилых комнат домов и общежитий, гостиных и номеров гостиниц, спальных помещений санаториев и домов отдыха, групповых и игровых детских дошкольных учреждений, палат и спальных комнат объектов социального обеспечения (интернатов, пансионатов для престарелых и инвалидов и т.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6.2. Выбор источников света следует проводить в соответствии с требованиями раздела 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Применение ламп накаливания разрешается в случаях, когда по условиям технологии, среды или требований оформления интерьера использование других источников света невозможно.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6.3. Нормируемые значения КЕО для производственных помещений должны приниматься как для совмещенного освещения по таблице 4.1 и приложению 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Разрешается снижать нормируемые значения КЕО и принимать их в соответствии с таблицей 6.1: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районах с температурой наиболее холодной пятидневки по СП 131.13330 минус 28 °C и ниже;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 помещениях с боковым освещением, глубина которых по условиям технологии или выбору рациональных объемно-планировочных решений не позволяет обеспечить нормируемое значение КЕО, указанное в таблице 4.1 для совмещенного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в помещениях, в которых выполняются зрительные работы разрядов I - III.</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6.1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Наименьшие нормативные значения КЕО для производственных помещений при совмещенном освещении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97"/>
        <w:gridCol w:w="1944"/>
        <w:gridCol w:w="1150"/>
      </w:tblGrid>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зрительных работ</w:t>
            </w:r>
          </w:p>
        </w:tc>
        <w:tc>
          <w:tcPr>
            <w:tcW w:w="28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Нормативные значения КЕО </w:t>
            </w:r>
            <w:r w:rsidRPr="003C0CFF">
              <w:rPr>
                <w:rFonts w:eastAsia="Times New Roman" w:cstheme="minorHAnsi"/>
                <w:noProof/>
                <w:color w:val="000000" w:themeColor="text1"/>
                <w:sz w:val="24"/>
                <w:szCs w:val="24"/>
                <w:lang w:eastAsia="ru-RU"/>
              </w:rPr>
              <w:drawing>
                <wp:inline distT="0" distB="0" distL="0" distR="0" wp14:anchorId="611D6C11" wp14:editId="40C7B100">
                  <wp:extent cx="361315" cy="297815"/>
                  <wp:effectExtent l="0" t="0" r="635" b="6985"/>
                  <wp:docPr id="237" name="Рисунок 237" descr="https://mobile.olimpoks.ru/Prepare/Doc/1035/5/f6b6ea45-8c63-4ce0-8046-f504baab01c2/i/155eb77f-bfc0-432e-bd56-57b15d65a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obile.olimpoks.ru/Prepare/Doc/1035/5/f6b6ea45-8c63-4ce0-8046-f504baab01c2/i/155eb77f-bfc0-432e-bd56-57b15d65a23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31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при совмещенном освещении</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6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11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 и VII</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9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16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6.4. В производственных помещениях при установлении нормируемых значений КЕО в соответствии с 6.3: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освещенность от светильников системы общего освещения должна составлять не менее 200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освещенность от светильников общего освещения в системе комбинированного освещения необходимо повышать на одну ступень по шкале освещенности, кроме разрядов Iа, Iб, IIа;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коэффициент пульсации </w:t>
      </w:r>
      <w:r w:rsidRPr="003C0CFF">
        <w:rPr>
          <w:rFonts w:eastAsia="Times New Roman" w:cstheme="minorHAnsi"/>
          <w:noProof/>
          <w:color w:val="000000" w:themeColor="text1"/>
          <w:sz w:val="24"/>
          <w:szCs w:val="24"/>
          <w:lang w:eastAsia="ru-RU"/>
        </w:rPr>
        <w:drawing>
          <wp:inline distT="0" distB="0" distL="0" distR="0" wp14:anchorId="47DE2B42" wp14:editId="312E7026">
            <wp:extent cx="403860" cy="403860"/>
            <wp:effectExtent l="0" t="0" r="0" b="0"/>
            <wp:docPr id="236" name="Рисунок 236" descr="https://mobile.olimpoks.ru/Prepare/Doc/1035/5/f6b6ea45-8c63-4ce0-8046-f504baab01c2/i/9f9ef508-9815-4547-a5e1-b916d55d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mobile.olimpoks.ru/Prepare/Doc/1035/5/f6b6ea45-8c63-4ce0-8046-f504baab01c2/i/9f9ef508-9815-4547-a5e1-b916d55de39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разрядов I - III зрительных работ не должен превышать 10 %.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 при совмещенном освещении помещений следует проектировать также в соответствии с разделом 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6.5. Расчетные значения КЕО при совмещенном освещении жилых и общественных зданий должны составлять: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не менее 87 % значений, указанных в приложении Л для учебных и учебно-производственных помещений общеобразовательных и профессиональных образовательных организаций;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не менее 60 % значений, указанных в приложении Л для остальных помещений.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6.6. При совмещенном освещении для помещений общественных зданий с боковым освещением при расчетном значении КЕО, равном или менее 80 % нормируемого значения, освещенность от общего искусственного освещения следует повышать на одну ступень по шкале освещенности.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6.7. Требования к совмещенному освещению в зависимости от назначения помещения для жилых и общественных зданий следует принимать по таблице 4.2 и приложению Л.</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6.8. При совмещенном освещении нормируемую освещенность в учебных и учебно-производственных помещениях общеобразовательных и профессиональных образовательных организаций следует повышать по шкале освещенности, приведенной в 4.1.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6.9. При совмещенном освещении учебных и учебно-производственных помещений общеобразовательных и профессиональных образовательных организаций следует предусматривать раздельное включение или регулировку светового потока по сигналам от фотометрических датчиков рядов светильников, расположенных параллельно светопроемам.</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7. ИСКУССТВЕННОЕ ОСВЕЩЕНИЕ</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7.1. Общие положения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7.1.1. Искусственное освещение подразделяется на рабочее, аварийное, охранное и дежурное.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Часть светильников рабочего или аварийного освещения может использоваться для дежурного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Нормируемые характеристики освещения в помещениях и вне зданий обеспечиваются как светильниками рабочего освещения, так и их совместным действием со светильниками аварийного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Нормируемая освещенность и обеспечивающая ее удельная мощность указываются на рабочих чертежах помещений и рабочих зон.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Состав и правила оформления рабочих чертежей для искусственного освещения помещений зданий и сооружений определены ГОСТ 21.608, а для освещения территорий промышленных предприятий - ГОСТ 21.607.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7.1.2. Искусственное освещение помещений может быть двух систем - общее (равномерное и локализованное) и комбинированное.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Рабочее освещение следует предусматривать для всех помещений зданий, а также для участков открытых пространств, предназначенных для работы, прохода людей и движения транспорта. Для помещений, имеющих зоны с разными условиями естественного освещения и различными режимами работы, необходимо раздельное управление освещением таких зон.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7.1.3. Для общего и местного освещения помещений следует использовать источники света с цветовой температурой от 2400 до 6800 К. Интенсивность ультрафиолетового излучения в диапазоне длин волн 320 - 400 нм не должна превышать 0,03 Вт/м². Наличие в спектре излучения длин волн менее 320 нм не допускается.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искусственного освещения следует использовать энергоэффективные источники света и световые приборы, отдавая предпочтение при равной мощности источникам света с наибольшими световой отдачей и сроком службы, с учетом требований к цветоразличению. Источники света и световые приборы должны отвечать требованиям [4].</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Применение ламп накаливания общего назначения для освещения ограничивается [1]. Не допускается применение для освещения ламп накаливания общего назначения мощностью 100 Вт и более.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Рекомендуемая световая отдача световых приборов, используемых для общего искусственного освещения помещений, освещения мест производства вне зданий и наружного утилитарного освещения при минимально допустимых индексах цветопередачи, приведена в таблице 7.1.</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Рекомендуемые световые отдачи световых приборов для общего освещения помещений, освещения мест производства вне зданий, наружного освещения территорий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40"/>
        <w:gridCol w:w="1140"/>
      </w:tblGrid>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Тип источника света</w:t>
            </w:r>
          </w:p>
        </w:tc>
        <w:tc>
          <w:tcPr>
            <w:tcW w:w="11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Световая отдача световых приборов (СП), лм/Вт, не менее</w:t>
            </w:r>
          </w:p>
        </w:tc>
      </w:tr>
      <w:tr w:rsidR="003C0CFF" w:rsidRPr="003C0CFF" w:rsidTr="003C0CFF">
        <w:tc>
          <w:tcPr>
            <w:tcW w:w="738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освещение общественных помещений</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со светодиодами:</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индексом цветопередачи </w:t>
            </w:r>
            <w:r w:rsidRPr="003C0CFF">
              <w:rPr>
                <w:rFonts w:eastAsia="Times New Roman" w:cstheme="minorHAnsi"/>
                <w:noProof/>
                <w:color w:val="000000" w:themeColor="text1"/>
                <w:sz w:val="24"/>
                <w:szCs w:val="24"/>
                <w:lang w:eastAsia="ru-RU"/>
              </w:rPr>
              <w:drawing>
                <wp:inline distT="0" distB="0" distL="0" distR="0" wp14:anchorId="5D912E3B" wp14:editId="25A771C4">
                  <wp:extent cx="553085" cy="436245"/>
                  <wp:effectExtent l="0" t="0" r="0" b="1905"/>
                  <wp:docPr id="235" name="Рисунок 235"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&gt; 85</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индексом цветопередачи 80 ≤ </w:t>
            </w:r>
            <w:r w:rsidRPr="003C0CFF">
              <w:rPr>
                <w:rFonts w:eastAsia="Times New Roman" w:cstheme="minorHAnsi"/>
                <w:noProof/>
                <w:color w:val="000000" w:themeColor="text1"/>
                <w:sz w:val="24"/>
                <w:szCs w:val="24"/>
                <w:lang w:eastAsia="ru-RU"/>
              </w:rPr>
              <w:drawing>
                <wp:inline distT="0" distB="0" distL="0" distR="0" wp14:anchorId="23C427FF" wp14:editId="373F3987">
                  <wp:extent cx="553085" cy="436245"/>
                  <wp:effectExtent l="0" t="0" r="0" b="1905"/>
                  <wp:docPr id="234" name="Рисунок 234"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85</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люминесцентными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металлогалогенными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65</w:t>
            </w:r>
          </w:p>
        </w:tc>
      </w:tr>
      <w:tr w:rsidR="003C0CFF" w:rsidRPr="003C0CFF" w:rsidTr="003C0CFF">
        <w:tc>
          <w:tcPr>
            <w:tcW w:w="738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освещение производственных помещений</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со светодиодами:</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индексом цветопередачи </w:t>
            </w:r>
            <w:r w:rsidRPr="003C0CFF">
              <w:rPr>
                <w:rFonts w:eastAsia="Times New Roman" w:cstheme="minorHAnsi"/>
                <w:noProof/>
                <w:color w:val="000000" w:themeColor="text1"/>
                <w:sz w:val="24"/>
                <w:szCs w:val="24"/>
                <w:lang w:eastAsia="ru-RU"/>
              </w:rPr>
              <w:drawing>
                <wp:inline distT="0" distB="0" distL="0" distR="0" wp14:anchorId="0F8ECC5C" wp14:editId="74429081">
                  <wp:extent cx="553085" cy="436245"/>
                  <wp:effectExtent l="0" t="0" r="0" b="1905"/>
                  <wp:docPr id="233" name="Рисунок 233"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&gt; 80</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индексом цветопередачи 70 ≤ </w:t>
            </w:r>
            <w:r w:rsidRPr="003C0CFF">
              <w:rPr>
                <w:rFonts w:eastAsia="Times New Roman" w:cstheme="minorHAnsi"/>
                <w:noProof/>
                <w:color w:val="000000" w:themeColor="text1"/>
                <w:sz w:val="24"/>
                <w:szCs w:val="24"/>
                <w:lang w:eastAsia="ru-RU"/>
              </w:rPr>
              <w:drawing>
                <wp:inline distT="0" distB="0" distL="0" distR="0" wp14:anchorId="38AE8FB6" wp14:editId="1BCC13DC">
                  <wp:extent cx="553085" cy="436245"/>
                  <wp:effectExtent l="0" t="0" r="0" b="1905"/>
                  <wp:docPr id="232" name="Рисунок 232"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80</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люминесцентными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металлогалогенными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натриевыми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ртутными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738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мест производства работ вне зданий</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со светодиодами</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металлогалогенными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люминесцентными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натриевыми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ртутными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738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Наружное освещение территорий</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со светодиодами</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металлогалогенными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люминесцентными источниками света</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натриевыми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6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СП с ртутными лампами высокого давления</w:t>
            </w:r>
          </w:p>
        </w:tc>
        <w:tc>
          <w:tcPr>
            <w:tcW w:w="11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Световая отдача рассчитывается по ies-файлу на светильник.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Для световых приборов с глубокой кривой силы света световая отдача может быть снижена на 20 % (типы кривых силы света см. в таблице 2 и на рисунке 1 ГОСТ Р 54350-2015).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Настоящие требования не распространяются на световые приборы местного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7.1.4. Применяемое для искусственного освещения электрооборудование должно соответствовать требованиям [3], [7].</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7.2. Освещение помещений производственных и складских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7.2.1. Выбор источников света по цветовым характеристикам для производственных помещений следует проводить на основании приложения И. Для общего освещения производственных помещений следует использовать светодиоды и энергоэффективные разрядные источники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7.2.2. Нормы освещенности, приведенные в таблице 4.1, следует повышать на одну ступень шкалы освещенности в следующих случаях: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при зрительных работах разрядов I - IV, если зрительная работа выполняется более половины рабочего дня;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при повышенной опасности травматизма, если освещенность от системы общего освещения составляет 200 лк и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при специальных повышенных санитарных требованиях (на предприятиях пищевой и химико-фармацевтической промышленности), если освещенность от системы общего освещения 500 лк и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при работе или производственном обучении подростков, если освещенность от системы общего освещения 300 лк и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при отсутствии в помещении естественного света и постоянном пребывании работающих, если освещенность от системы общего освещения 750 лк и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 при наблюдении деталей, вращающихся со скоростью, равной или превышающей 500 мин‾¹, или объектов, движущихся со скоростью, равной или превышающей 1,5 м/мин;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 при постоянном поиске объектов различения на поверхности размером 0,1 м² и более;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 в помещениях, где более половины работающих старше 40 лет.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наличии одновременно нескольких признаков нормы освещенности следует повышать не более чем на одну ступень.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7.2.3. В помещениях, где выполняются зрительные работы разрядов IV - VI, нормы освещенности следует снижать на одну ступень при кратковременном пребывании людей или при наличии оборудования, не требующего постоянного обслуживания.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7.2.4. При выполнении в помещениях зрительных работ разрядов I - III, IVа, IVб, IVв, Vа следует применять систему комбинированного освещения. Предусматривать систему общего освещения разрешается при технической невозможности устройства местного освещения, что конкретизируется в стандартах организаций.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наличии в одном помещении рабочих и вспомогательных зон следует предусматривать локализованное общее освещение (при любой системе освещения) рабочих зон и менее интенсивное освещение вспомогательных зон, относя их по освещению зрительных работ к разряду VIIIа.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7.2.5. Освещенность рабочей поверхности, создаваемая светильниками общего освещения в системе комбинированного, должна составлять не менее 10 % нормируемой для комбинированного освещения. При этом освещенность от общего освещения должна быть не менее 200 лк. Создавать освещенность от общего освещения в системе комбинированного более 1200 лк разрешается только при наличии обоснований.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помещениях без естественного света освещенность рабочей поверхности, создаваемую светильниками общего освещения в системе комбинированного, следует повышать на одну ступень.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7.2.6. Предельная равномерность распределения освещенности </w:t>
      </w:r>
      <w:r w:rsidRPr="003C0CFF">
        <w:rPr>
          <w:rFonts w:eastAsia="Times New Roman" w:cstheme="minorHAnsi"/>
          <w:noProof/>
          <w:color w:val="000000" w:themeColor="text1"/>
          <w:sz w:val="24"/>
          <w:szCs w:val="24"/>
          <w:lang w:eastAsia="ru-RU"/>
        </w:rPr>
        <w:drawing>
          <wp:inline distT="0" distB="0" distL="0" distR="0" wp14:anchorId="7F22911F" wp14:editId="6C2646EC">
            <wp:extent cx="436245" cy="414655"/>
            <wp:effectExtent l="0" t="0" r="1905" b="4445"/>
            <wp:docPr id="231" name="Рисунок 231" descr="https://mobile.olimpoks.ru/Prepare/Doc/1035/5/f6b6ea45-8c63-4ce0-8046-f504baab01c2/i/a2c424d6-a449-49ad-8189-a32b98f0a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obile.olimpoks.ru/Prepare/Doc/1035/5/f6b6ea45-8c63-4ce0-8046-f504baab01c2/i/a2c424d6-a449-49ad-8189-a32b98f0af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37BC4E5" wp14:editId="0E3D5418">
            <wp:extent cx="1073785" cy="659130"/>
            <wp:effectExtent l="0" t="0" r="0" b="7620"/>
            <wp:docPr id="230" name="Рисунок 230" descr="https://mobile.olimpoks.ru/Prepare/Doc/1035/5/f6b6ea45-8c63-4ce0-8046-f504baab01c2/i/85795a9f-0b20-4f48-bf44-898e27e3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obile.olimpoks.ru/Prepare/Doc/1035/5/f6b6ea45-8c63-4ce0-8046-f504baab01c2/i/85795a9f-0b20-4f48-bf44-898e27e3c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61CFDA75" wp14:editId="7DFCAE1D">
            <wp:extent cx="1169670" cy="669925"/>
            <wp:effectExtent l="0" t="0" r="0" b="0"/>
            <wp:docPr id="229" name="Рисунок 229" descr="https://mobile.olimpoks.ru/Prepare/Doc/1035/5/f6b6ea45-8c63-4ce0-8046-f504baab01c2/i/8d02c26f-1e8f-4c5a-a5e9-93daea924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obile.olimpoks.ru/Prepare/Doc/1035/5/f6b6ea45-8c63-4ce0-8046-f504baab01c2/i/8d02c26f-1e8f-4c5a-a5e9-93daea924a9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6699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рабочей зоне помещения без учета проходов не должна быть менее для зрительных работ разрядов I - III - 0,7, для зрительных работ разрядов IV - VII разрядов - 0,6.</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Предельную равномерность распределения освещенности </w:t>
      </w:r>
      <w:r w:rsidRPr="003C0CFF">
        <w:rPr>
          <w:rFonts w:eastAsia="Times New Roman" w:cstheme="minorHAnsi"/>
          <w:noProof/>
          <w:color w:val="000000" w:themeColor="text1"/>
          <w:sz w:val="24"/>
          <w:szCs w:val="24"/>
          <w:lang w:eastAsia="ru-RU"/>
        </w:rPr>
        <w:drawing>
          <wp:inline distT="0" distB="0" distL="0" distR="0" wp14:anchorId="61B09927" wp14:editId="4EF04881">
            <wp:extent cx="436245" cy="414655"/>
            <wp:effectExtent l="0" t="0" r="1905" b="4445"/>
            <wp:docPr id="228" name="Рисунок 228" descr="https://mobile.olimpoks.ru/Prepare/Doc/1035/5/f6b6ea45-8c63-4ce0-8046-f504baab01c2/i/a2c424d6-a449-49ad-8189-a32b98f0a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obile.olimpoks.ru/Prepare/Doc/1035/5/f6b6ea45-8c63-4ce0-8046-f504baab01c2/i/a2c424d6-a449-49ad-8189-a32b98f0af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допускается снижать до 0,3 в тех случаях, когда по условиям технологии светильники общего освещения допускается устанавливать только на площадках, колоннах или стенах помещения.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7.2.7. В производственных помещениях освещенность проходов и участков, где зрительные работы не проводятся, должна составлять не более 25 % нормируемой освещенности, создаваемой светильниками общего освещения, но не менее 100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7.2.8. В цехах с полностью автоматизированным технологическим процессом следует предусматривать освещение для наблюдения за работой оборудования, а также дополнительно включаемые светильники общего и местного освещения для обеспечения необходимой (в соответствии с таблицей 4.1) освещенности при ремонтно-наладочных работах.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7.2.9. В целях контроля за энергопотреблением устанавливаются требования к максимально допустимой удельной установленной мощности общего искусственного освещения помещений. Удельные установленные мощности общего искусственного освещения в производственных и складских помещениях не должны превышать максимально допустимых значений, приведенных в таблице 7.2.</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Максимально допустимые удельные установленные мощности искусственного освещения в производственных помещениях</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на рабочей поверхности, лк</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помещения</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Удельная установленная мощность, Вт/м², не более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r>
      <w:tr w:rsidR="003C0CFF" w:rsidRPr="003C0CFF" w:rsidTr="003C0CFF">
        <w:tc>
          <w:tcPr>
            <w:tcW w:w="7380"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Значения максимальных удельных мощностей искусственного освещения для помещений других размеров и освещенностей определяются интерполяцией.</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Значения максимальных удельных мощностей искусственного освещения допускается повышать на 20 % в технически обоснованных случаях (наличие крупногабаритного оборудования и пр.).</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7.2.10. Объединенный показатель дискомфорта от светильников общего освещения (независимо от системы освещения) не должен превышать значений, указанных в таблице 4.1.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Объединенный показатель дискомфорта не ограничивается для помещений, длина которых не превышает двойной высоты подвеса светильников над полом, а также для помещений с временным пребыванием людей и для площадок, предназначенных для прохода или обслуживания оборудования.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7.2.11. Для местного освещения рабочих мест следует использовать светильники с непросвечивающими отражателями. Светильники должны располагаться таким образом, чтобы их светящие элементы не попадали в поле зрения работающих на освещаемом рабочем месте и на других рабочих местах.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Местное освещение зрительных работ с трехмерными объектами различения следует выполнять: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диффузном отражении фона - светильником, отношение наибольшего линейного размера светящей поверхности которого к высоте расположения ее над рабочей поверхностью составляет не более 0,4 при направлении оптической оси в центр рабочей поверхности под углом не менее 30° к вертикали;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направленно-рассеянном и смешанном отражении фона - светильником, отношение наименьшего линейного размера светящей поверхности которого к высоте расположения ее над рабочей поверхностью составляет не менее 0,5, а ее яркость - от 2500 до 4000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7.2.12. Яркость рабочей поверхности не должна превышать значений, указанных в таблице 7.3.</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7.3</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Наибольшая допустимая яркость рабочих поверхностей по условиям отраженной блескости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90"/>
        <w:gridCol w:w="3690"/>
      </w:tblGrid>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Площадь рабочей поверхности, м²</w:t>
            </w:r>
          </w:p>
        </w:tc>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Наибольшая допустимая яркость, кд/м²</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0,0001</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0,0001 до 0,001</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0,001 до 0,01</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0,01 до 0,1</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Более 0,1</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7.2.13. Коэффициент пульсации освещенности на рабочих поверхностях не должен превышать значений, указанных в таблице 4.1.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не ограничивается: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помещений с периодическим пребыванием людей при отсутствии в них условий для возникновения стробоскопического эффекта;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пульсации освещенности частотой свыше 300 Гц, поскольку при данных частотах она не оказывает влияния на общую и зрительную работоспособность.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помещениях, где возможно возникновение стробоскопического эффекта, коэффициент пульсации освещенности должен быть менее 10 % за счет применения источников света со специальными устройствами питания (светодиодов, работающих на постоянном токе, люминесцентных ламп с электронными пускорегулирующими устройствами), а также включения соседних разрядных источников света в три фазы питающего напряжения.</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7.3. Освещение помещений общественных, жилых и вспомогательных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7.3.1. Выбор источников света по цветовым характеристикам для общественных, жилых и вспомогательных помещений следует проводить на основании приложения 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дошкольных образовательных организациях, а также в основных функциональных помещениях лечебно-профилактических учреждений следует применять люминесцентные (в том числе компактные) лампы и галогенные лампы накаливания. Использование светодиодных источников света в указанных помещениях не разрешается.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общественных помещениях галогенные лампы накаливания для общего освещения допускается использовать только для обеспечения архитектурно-художественных требований.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7.3.2. В целях контроля за энергопотреблением устанавливаются требования к максимально допустимой удельной установленной мощности общего искусственного освещения помещений общественных зданий разрядов А - 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Удельные установленные мощности общего искусственного освещения не должны превышать максимально допустимых значений, приведенных в таблице 7.4.</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7.4</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Максимально допустимые удельные установленные мощности искусственного освещения в помещениях общественных зданий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7.4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85"/>
        <w:gridCol w:w="1205"/>
        <w:gridCol w:w="1764"/>
      </w:tblGrid>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на рабочей поверхности, лк</w:t>
            </w:r>
          </w:p>
        </w:tc>
        <w:tc>
          <w:tcPr>
            <w:tcW w:w="9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помещения</w:t>
            </w:r>
          </w:p>
        </w:tc>
        <w:tc>
          <w:tcPr>
            <w:tcW w:w="15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Удельная установленная мощность, Вт/м², не более</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0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и более</w:t>
            </w:r>
          </w:p>
        </w:tc>
        <w:tc>
          <w:tcPr>
            <w:tcW w:w="154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r>
      <w:tr w:rsidR="003C0CFF" w:rsidRPr="003C0CFF" w:rsidTr="003C0CFF">
        <w:tc>
          <w:tcPr>
            <w:tcW w:w="3750"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Значения в настоящей таблице приведены с учетом потребления мощности пускорегулирующих устройств, а также устройств управления освещением.</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Значения максимальных удельных мощностей искусственного освещения допускается повышать на 20 % в технически обоснованных случаях (наличие крупногабаритного оборудования и пр.).</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7.3.3. Нормы освещенности, приведенные в таблице 4.2, следует повышать на одну ступень шкалы освещенности в следующих случаях: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при зрительных работах разрядов А - В при специальных повышенных санитарных требованиях (например, в некоторых помещениях общественного питания и торговли);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при отсутствии в помещении с постоянным пребыванием людей естественного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при повышенных требованиях к насыщенности помещения светом для зрительных работ разрядов Г - Е (зрительные и концертные залы, фойе уникальных зданий и т.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при применении системы комбинированного освещения административных зданий (кабинеты, рабочие комнаты, читальные залы библиотеки);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в помещениях, где более половины работающих старше 40 лет.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7.3.4. В установках декоративно-художественного освещения помещений общественных зданий с разрядами зрительных работ Г - Е разрешается выбор освещенности в соответствии с архитектурными требованиями, при этом для обеспечения возможности свободного ориентирования в помещении наименьшая освещенность условной рабочей поверхности должна быть не менее 100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7.3.5. В помещениях, где необходимо обеспечить цилиндрическую освещенность, средневзвешенный по поверхности коэффициент отражения стен должен быть не менее 40 %, а потолка - не менее 50 %.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7.3.6. В помещениях общественных зданий следует применять систему общего освещения. Допускается применение системы комбинированного освещения в помещениях административных зданий, где выполняется зрительная работа разрядов А - В (например, кабинеты, рабочие комнаты, читальные залы библиотек и архивов и т. п.). При этом нормируемая освещенность на рабочей поверхности повышается согласно 7.3.3, а освещенность от общего освещения должна составлять не менее 70 % значений по таблице 4.2.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 предприятиях бытового обслуживания в сопутствующих помещениях производственного характера, где выполняются зрительные работы разрядов I - IV (например, помещения ювелирных и граверных работ, ремонта часов, теле- и радиоаппаратуры, калькуляторов и т. д.), следует применять систему комбинированного освещения. Нормируемые освещенности и качественные показатели принимаются по таблице 4.1.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7.3.7. Объединенный показатель дискомфорта, регламентируемый для ограничения слепящего действия в осветительных установках по таблице 4.2, должен обеспечиваться у торцевой стены на центральной оси помещения на высоте 1,2 м от пола. Объединенный показатель дискомфорта не ограничивается для помещений, длина которых не превышает двойной высоты установки светильников над полом.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следует принимать по таблице 4.2.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7.3.8. Освещение вестибюлей, лестниц, лифтовых холлов, приквартирных коридоров жилых зданий высотой более трех этажей должно иметь автоматическое или дистанционное управление, обеспечивающее снижение светового потока светильников или ламп в ночное время с таким расчетом, чтобы освещенность вышеуказанных помещений была не ниже норм эвакуационного освещения, а при проходе людей по данным помещениям освещенность должна соответствовать нормам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целях энергосбережения при проектировании рабочего освещения приведенных помещений допускается применение устройств кратковременного включения освещения (УКВО) с выдержкой времени, достаточного для прохода людей по этим помещениям в условиях вышеуказанной освещенности, или использование светильников с датчиками движения (присутствия) и освещенности.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Необходимость применения УКВО или светильников с датчиками движения в сетях рабочего освещения определяется заданием на проектирование.</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7.4. Освещение площадок предприятий и мест производства работ вне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7.4.1 Освещенность рабочих поверхностей мест производства работ, расположенных вне зданий, на этажерках вне зданий и под навесом, следует принимать по таблице 7.5.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Удельные мощности искусственного освещения мест производства работ вне зданий не должны превышать максимально допустимых значений, приведенных в таблице 7.5.</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7.5</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Нормы освещения и максимально допустимые удельные установленные мощности освещения мест производства работ вне зданий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7.5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92"/>
        <w:gridCol w:w="1674"/>
        <w:gridCol w:w="1377"/>
        <w:gridCol w:w="1847"/>
        <w:gridCol w:w="1302"/>
        <w:gridCol w:w="1802"/>
        <w:gridCol w:w="1472"/>
      </w:tblGrid>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зрительной работы</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Отношение минимального размера объекта различения к расстоянию от этого объекта до глаз работающего</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в горизонтальной плоскости, лк</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731A66CF" wp14:editId="56E70D42">
                  <wp:extent cx="436245" cy="414655"/>
                  <wp:effectExtent l="0" t="0" r="1905" b="4445"/>
                  <wp:docPr id="227" name="Рисунок 227" descr="https://mobile.olimpoks.ru/Prepare/Doc/1035/5/f6b6ea45-8c63-4ce0-8046-f504baab01c2/i/a2c424d6-a449-49ad-8189-a32b98f0a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obile.olimpoks.ru/Prepare/Doc/1035/5/f6b6ea45-8c63-4ce0-8046-f504baab01c2/i/a2c424d6-a449-49ad-8189-a32b98f0af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относительные единицы, не менее</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блескости RG, относительные единицы</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w:t>
            </w:r>
            <w:r w:rsidRPr="003C0CFF">
              <w:rPr>
                <w:rFonts w:eastAsia="Times New Roman" w:cstheme="minorHAnsi"/>
                <w:noProof/>
                <w:color w:val="000000" w:themeColor="text1"/>
                <w:sz w:val="24"/>
                <w:szCs w:val="24"/>
                <w:lang w:eastAsia="ru-RU"/>
              </w:rPr>
              <w:drawing>
                <wp:inline distT="0" distB="0" distL="0" distR="0" wp14:anchorId="78F472C4" wp14:editId="54E3C895">
                  <wp:extent cx="403860" cy="403860"/>
                  <wp:effectExtent l="0" t="0" r="0" b="0"/>
                  <wp:docPr id="226" name="Рисунок 226" descr="https://mobile.olimpoks.ru/Prepare/Doc/1035/5/f6b6ea45-8c63-4ce0-8046-f504baab01c2/i/9f9ef508-9815-4547-a5e1-b916d55d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obile.olimpoks.ru/Prepare/Doc/1035/5/f6b6ea45-8c63-4ce0-8046-f504baab01c2/i/9f9ef508-9815-4547-a5e1-b916d55de39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 более</w:t>
            </w:r>
          </w:p>
        </w:tc>
        <w:tc>
          <w:tcPr>
            <w:tcW w:w="4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Удельная установленная мощность, Вт/м², не более</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IX</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0,002</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0,002 до 0,01</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0,01 до 0,02</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0,02 до 0,05</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XIII</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0,05 до 0,1</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XIV</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Свыше 0,1</w:t>
            </w:r>
          </w:p>
        </w:tc>
        <w:tc>
          <w:tcPr>
            <w:tcW w:w="55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43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Постоянное наблюдение за ходом производственного процесса</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XVI</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Периодическое наблюдение за ходом производственного процесса</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XVII</w:t>
            </w:r>
          </w:p>
        </w:tc>
        <w:tc>
          <w:tcPr>
            <w:tcW w:w="6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Общее наблюдение за инженерными коммуникациями</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4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7"/>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При опасности травматизма для зрительных работ разрядов XI - XIV освещенность следует принимать по смежному, более высокому разряду.</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Значения максимальных удельных мощностей искусственного освещения допускается повышать на 20 % в технически обоснованных случаях (наличие крупногабаритного оборудования и пр.).</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7.4.2. Средняя освещенность в горизонтальной плоскости площадок предприятий на уровне земли или дорожных покрытий следует принимать по таблице 7.6.</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7.6</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Освещенность территорий предприятий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1983"/>
        <w:gridCol w:w="1650"/>
      </w:tblGrid>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Освещаемые объекты</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Наибольшая интенсивность движения в обоих направлениях, ед·ч</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в горизонтальной плоскости, лк</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Проезды</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50 до 150</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10 до 50</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10</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Пожарные проезды, дороги для хозяйственных нужд</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Ступени и площадки лестниц и переходных мостиков</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Предзаводские участки, не относящиеся к территории города (площадки перед зданиями, подъезды и проходы к зданиям, стоянки транспорта)</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3750"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Железнодорожные пути:</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стрелочные горловины</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отдельные стрелочные переводы</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железнодорожное полотно</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4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Переходы и переезды</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103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3750"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автомобильных дорог, являющихся продолжением городских улиц и имеющих аналогичные покрытия проезжей части и интенсивность движения транспорта, необходимо соблюдать нормы средней яркости покрытий проезжей части, приведенные в таблице 7.10.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7.4.3. Наружное освещение должно иметь управление, независимое от управления освещением внутри зданий.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Относительные удельные мощности искусственного освещения улично-дорожной сети не должны превышать максимально допустимых значений, приведенных в таблице 7.10.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Там, где улицы и дороги в промышленных зонах используются только в короткие промежутки времени (ночью), например при сменной работе, для снижения яркости или освещенности дорожного покрытия после снижения интенсивности движения, следует применять осветительные приборы с автоматическими регуляторами светового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7.4.4. Для ограничения слепящего действия установок наружного освещения мест производства работ и территорий промышленных предприятий высота установки осветительных приборов над уровнем земли должна быть: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для осветительных приборов с защитным углом менее 15° - не менее указанной в таблице 7.7;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для осветительных приборов с защитным углом 15° и более - не менее 3,5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Допускается не ограничивать высоту подвеса осветительных приборов с защитным углом 15° и более (или с рассеивателями из молочного стекла без отражателей) на площадках для прохода людей или обслуживания технологического (или инженерного) оборудования, а также у входа в здание.</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7.7</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Наименьшая высота установки осветительных приборов по условиям ограничения слепящего действия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47"/>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Светораспределение осветительных приборов</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Наибольший световой поток ламп в осветительных приборах, установленных на одной опоре, лм</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Наименьшая высота установки осветительных приборов, м</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Полуширокое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6000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6000 до 10000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10000 до 20000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20000 до 30000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30000 до 40000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246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40000</w:t>
            </w:r>
          </w:p>
        </w:tc>
        <w:tc>
          <w:tcPr>
            <w:tcW w:w="246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Широкое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6000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6000 до 10000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10000 до 20000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20000 до 30000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30000 до 40000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40000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7.4.5 Высота установки осветительных приборов рассеянного света должна быть не менее 3 м при световом потоке источника света до 6000 лм и не менее 4 м при световом потоке более 6000 лм.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7.4.6 Отношение осевой силы света </w:t>
      </w:r>
      <w:r w:rsidRPr="003C0CFF">
        <w:rPr>
          <w:rFonts w:eastAsia="Times New Roman" w:cstheme="minorHAnsi"/>
          <w:noProof/>
          <w:color w:val="000000" w:themeColor="text1"/>
          <w:sz w:val="24"/>
          <w:szCs w:val="24"/>
          <w:lang w:eastAsia="ru-RU"/>
        </w:rPr>
        <w:drawing>
          <wp:inline distT="0" distB="0" distL="0" distR="0" wp14:anchorId="4192CDE0" wp14:editId="37F0EABC">
            <wp:extent cx="648335" cy="403860"/>
            <wp:effectExtent l="0" t="0" r="0" b="0"/>
            <wp:docPr id="225" name="Рисунок 225" descr="https://mobile.olimpoks.ru/Prepare/Doc/1035/5/f6b6ea45-8c63-4ce0-8046-f504baab01c2/i/d535bd6f-0be9-4718-a321-b14e560b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mobile.olimpoks.ru/Prepare/Doc/1035/5/f6b6ea45-8c63-4ce0-8046-f504baab01c2/i/d535bd6f-0be9-4718-a321-b14e560b353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33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 одного прожектора или наклонно расположенного осветительного прибора с типом кривой силы света, аналогичной кривой силы света прожектора, к квадрату высоты установки этих приборов H, м, в зависимости от нормируемой освещенности не должно превышать значений, указанных в таблице 7.8.</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7.8</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Отношение осевой силы света к квадрату высоты установки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15"/>
        <w:gridCol w:w="365"/>
        <w:gridCol w:w="365"/>
        <w:gridCol w:w="365"/>
        <w:gridCol w:w="365"/>
        <w:gridCol w:w="365"/>
        <w:gridCol w:w="365"/>
        <w:gridCol w:w="487"/>
        <w:gridCol w:w="487"/>
        <w:gridCol w:w="487"/>
      </w:tblGrid>
      <w:tr w:rsidR="003C0CFF" w:rsidRPr="003C0CFF" w:rsidTr="003C0CFF">
        <w:tc>
          <w:tcPr>
            <w:tcW w:w="15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Нормируемая освещенность, лк</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15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069F867" wp14:editId="6C6B538B">
                  <wp:extent cx="648335" cy="403860"/>
                  <wp:effectExtent l="0" t="0" r="0" b="0"/>
                  <wp:docPr id="224" name="Рисунок 224" descr="https://mobile.olimpoks.ru/Prepare/Doc/1035/5/f6b6ea45-8c63-4ce0-8046-f504baab01c2/i/d535bd6f-0be9-4718-a321-b14e560b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mobile.olimpoks.ru/Prepare/Doc/1035/5/f6b6ea45-8c63-4ce0-8046-f504baab01c2/i/d535bd6f-0be9-4718-a321-b14e560b353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33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/H²</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w:t>
            </w:r>
          </w:p>
        </w:tc>
      </w:tr>
      <w:tr w:rsidR="003C0CFF" w:rsidRPr="003C0CFF" w:rsidTr="003C0CFF">
        <w:tc>
          <w:tcPr>
            <w:tcW w:w="3750" w:type="dxa"/>
            <w:gridSpan w:val="10"/>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 При совпадении направлений осевых сил света нескольких световых приборов допустимые значения </w:t>
            </w:r>
            <w:r w:rsidRPr="003C0CFF">
              <w:rPr>
                <w:rFonts w:eastAsia="Times New Roman" w:cstheme="minorHAnsi"/>
                <w:noProof/>
                <w:color w:val="000000" w:themeColor="text1"/>
                <w:sz w:val="24"/>
                <w:szCs w:val="24"/>
                <w:lang w:eastAsia="ru-RU"/>
              </w:rPr>
              <w:drawing>
                <wp:inline distT="0" distB="0" distL="0" distR="0" wp14:anchorId="6C70EA50" wp14:editId="42D9F1C7">
                  <wp:extent cx="648335" cy="403860"/>
                  <wp:effectExtent l="0" t="0" r="0" b="0"/>
                  <wp:docPr id="223" name="Рисунок 223" descr="https://mobile.olimpoks.ru/Prepare/Doc/1035/5/f6b6ea45-8c63-4ce0-8046-f504baab01c2/i/d535bd6f-0be9-4718-a321-b14e560b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mobile.olimpoks.ru/Prepare/Doc/1035/5/f6b6ea45-8c63-4ce0-8046-f504baab01c2/i/d535bd6f-0be9-4718-a321-b14e560b353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33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/H² каждого прибора определяются путем деления табличного значения на число этих световых приборов.</w:t>
            </w:r>
          </w:p>
        </w:tc>
      </w:tr>
    </w:tbl>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 Освещение селитебных территорий</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7.5.1. Освещение улиц, дорог и площадей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 Классификация улично-дорожной сети городов проводится в соответствии с таблицей 7.9.</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7.9</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Классификация городской улично-дорожной сети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65"/>
        <w:gridCol w:w="1264"/>
        <w:gridCol w:w="612"/>
        <w:gridCol w:w="2300"/>
        <w:gridCol w:w="1848"/>
        <w:gridCol w:w="1112"/>
        <w:gridCol w:w="1074"/>
        <w:gridCol w:w="991"/>
      </w:tblGrid>
      <w:tr w:rsidR="003C0CFF" w:rsidRPr="003C0CFF" w:rsidTr="003C0CFF">
        <w:tc>
          <w:tcPr>
            <w:tcW w:w="10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Категория объекта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объекта</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Основное назначение объекта</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Транспортная характеристика</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Расчетная скорость, км/ч</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Число полос движения в обоих направлениях</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Пропускная способность, тыс. ед/ч</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Магистральные дороги и улицы общегородского значения</w:t>
            </w: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За пределами центра города &lt;*&gt;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и функциональные оси крупных городов. Выходы на внешние федеральные автомагистрали</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движение скоростное, непрерывное; пересечения в разных уровнях; наличие центральной разделительной полосы</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6 - 8</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Свыше 10</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Основные транспортные каналы города, в том числе имеющие выходы на внешние автомагистрали и скоростные дороги</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движение непрерывное или регулируемое; пересечение с магистралями в одном или разных уровнях</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80 - 100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6 - 8</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7 - 9</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центре города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А3</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и функциональные оси исторического центра города. Центральные магистрали, связующие улицы с выходом на магистрали А1 и А2</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кроме грузового, не связанного с обслуживанием центра; движение регулируемое; пересечение с магистралями в одном уровне; интенсивное пешеходное движение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6 - 8</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4 - 7</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А4</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Основные транспортные каналы исторического центра города, обеспечивают внутренние связи центра. Имеют выход на магистральные улицы общегородского и районного значения</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4 - 6</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3 - 5</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Магистрали и улицы районного значения</w:t>
            </w: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За пределами центра города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Основные оси районов города. Обеспечивают связи в пределах жилых районов и производственных зон, а также между ними</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движение регулируемое; пересечения в одном уровне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60 - 70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4 - 6</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3 - 5</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центре города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Оси функционально-планировочных зон исторического центра города. Обеспечивают его внутренние связи. Имеют выход на магистральные улицы общегородского и районного значения</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кроме грузового, не связанного с обслуживанием центра; движение регулируемое; пересечения в одном уровне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3 - 6</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2 - 5</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Улицы и дороги местного значения</w:t>
            </w: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Жилая застройка за пределами центра города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и пешеходные связи в пределах жилых районов и выход на магистрали, за исключением улиц с непрерывным движением транспорта</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Легковой, специальный и обслуживающий район грузовой транспорт, в отдельных случаях допускается общественный пассажирский транспорт; движение регулируемое; пересечения в одном уровне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2 - 4</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1,5 - 3</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Жилая застройка в центре города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и пешеходные связи в пределах жилых районов и микрорайонов, выход на магистральные улицы центра</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Легковой, специальный и обслуживающий район грузовой транспорт; движение регулируемое; пересечения в одном уровне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2 - 4</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1,5 - 3</w:t>
            </w:r>
          </w:p>
        </w:tc>
      </w:tr>
      <w:tr w:rsidR="003C0CFF" w:rsidRPr="003C0CFF" w:rsidTr="003C0CFF">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городских промышленных, коммунальных и складских зонах</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В3</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связи в пределах производственных и коммунально-складских зон</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Все виды транспорта; движение регулируемое; пересечения в одном уровне</w:t>
            </w:r>
          </w:p>
        </w:tc>
        <w:tc>
          <w:tcPr>
            <w:tcW w:w="2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2 - 4</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0,5 - 2</w:t>
            </w:r>
          </w:p>
        </w:tc>
      </w:tr>
      <w:tr w:rsidR="003C0CFF" w:rsidRPr="003C0CFF" w:rsidTr="003C0CFF">
        <w:tc>
          <w:tcPr>
            <w:tcW w:w="3750" w:type="dxa"/>
            <w:gridSpan w:val="8"/>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&lt;*&gt; Центр города - территория центральной части города, устанавливаемая городскими властями.</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7.5.1.2. Для проезжей части участков городских улиц и дорог со стандартной геометрией и асфальтобетонным покрытием нормируют: среднюю яркость дорожного покрытия </w:t>
      </w:r>
      <w:r w:rsidRPr="003C0CFF">
        <w:rPr>
          <w:rFonts w:eastAsia="Times New Roman" w:cstheme="minorHAnsi"/>
          <w:noProof/>
          <w:color w:val="000000" w:themeColor="text1"/>
          <w:sz w:val="24"/>
          <w:szCs w:val="24"/>
          <w:lang w:eastAsia="ru-RU"/>
        </w:rPr>
        <w:drawing>
          <wp:inline distT="0" distB="0" distL="0" distR="0" wp14:anchorId="3E1D3CBB" wp14:editId="02AF98D2">
            <wp:extent cx="871855" cy="914400"/>
            <wp:effectExtent l="0" t="0" r="4445" b="0"/>
            <wp:docPr id="222" name="Рисунок 222"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общую </w:t>
      </w:r>
      <w:r w:rsidRPr="003C0CFF">
        <w:rPr>
          <w:rFonts w:eastAsia="Times New Roman" w:cstheme="minorHAnsi"/>
          <w:noProof/>
          <w:color w:val="000000" w:themeColor="text1"/>
          <w:sz w:val="24"/>
          <w:szCs w:val="24"/>
          <w:lang w:eastAsia="ru-RU"/>
        </w:rPr>
        <w:drawing>
          <wp:inline distT="0" distB="0" distL="0" distR="0" wp14:anchorId="25865D53" wp14:editId="2EB6F300">
            <wp:extent cx="403860" cy="425450"/>
            <wp:effectExtent l="0" t="0" r="0" b="0"/>
            <wp:docPr id="221" name="Рисунок 221" descr="https://mobile.olimpoks.ru/Prepare/Doc/1035/5/f6b6ea45-8c63-4ce0-8046-f504baab01c2/i/baf4d38d-3fd9-4dc3-ba2d-31db6f999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mobile.olimpoks.ru/Prepare/Doc/1035/5/f6b6ea45-8c63-4ce0-8046-f504baab01c2/i/baf4d38d-3fd9-4dc3-ba2d-31db6f99950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3860" cy="4254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продольную </w:t>
      </w:r>
      <w:r w:rsidRPr="003C0CFF">
        <w:rPr>
          <w:rFonts w:eastAsia="Times New Roman" w:cstheme="minorHAnsi"/>
          <w:noProof/>
          <w:color w:val="000000" w:themeColor="text1"/>
          <w:sz w:val="24"/>
          <w:szCs w:val="24"/>
          <w:lang w:eastAsia="ru-RU"/>
        </w:rPr>
        <w:drawing>
          <wp:inline distT="0" distB="0" distL="0" distR="0" wp14:anchorId="3B951A2C" wp14:editId="6219D549">
            <wp:extent cx="372110" cy="372110"/>
            <wp:effectExtent l="0" t="0" r="8890" b="8890"/>
            <wp:docPr id="220" name="Рисунок 220"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равномерности яркости дорожного покрытия, среднюю освещенность дорожного покрытия </w:t>
      </w:r>
      <w:r w:rsidRPr="003C0CFF">
        <w:rPr>
          <w:rFonts w:eastAsia="Times New Roman" w:cstheme="minorHAnsi"/>
          <w:noProof/>
          <w:color w:val="000000" w:themeColor="text1"/>
          <w:sz w:val="24"/>
          <w:szCs w:val="24"/>
          <w:lang w:eastAsia="ru-RU"/>
        </w:rPr>
        <w:drawing>
          <wp:inline distT="0" distB="0" distL="0" distR="0" wp14:anchorId="1418406B" wp14:editId="016BF5C2">
            <wp:extent cx="648335" cy="605790"/>
            <wp:effectExtent l="0" t="0" r="0" b="3810"/>
            <wp:docPr id="219" name="Рисунок 219"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25BFBF63" wp14:editId="481DFD60">
            <wp:extent cx="414655" cy="403860"/>
            <wp:effectExtent l="0" t="0" r="4445" b="0"/>
            <wp:docPr id="218" name="Рисунок 218" descr="https://mobile.olimpoks.ru/Prepare/Doc/1035/5/f6b6ea45-8c63-4ce0-8046-f504baab01c2/i/0320f77f-c776-4c69-9d54-91480ef379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mobile.olimpoks.ru/Prepare/Doc/1035/5/f6b6ea45-8c63-4ce0-8046-f504baab01c2/i/0320f77f-c776-4c69-9d54-91480ef379d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465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пороговое приращение яркости TI согласно таблице 7.10.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7.5.1.3. Для проезжей части участков городских улиц и дорог с нестандартной геометрией или с покрытием, отличным от асфальтобетонного (брусчатка, цементобетонное и др.), или расположенных в северной строительно-климатической зоне азиатской части Российской Федерации либо севернее 66° северной широты европейской части Российской Федерации среднюю освещенность на дорожном покрытии </w:t>
      </w:r>
      <w:r w:rsidRPr="003C0CFF">
        <w:rPr>
          <w:rFonts w:eastAsia="Times New Roman" w:cstheme="minorHAnsi"/>
          <w:noProof/>
          <w:color w:val="000000" w:themeColor="text1"/>
          <w:sz w:val="24"/>
          <w:szCs w:val="24"/>
          <w:lang w:eastAsia="ru-RU"/>
        </w:rPr>
        <w:drawing>
          <wp:inline distT="0" distB="0" distL="0" distR="0" wp14:anchorId="418E2AFF" wp14:editId="06145600">
            <wp:extent cx="648335" cy="605790"/>
            <wp:effectExtent l="0" t="0" r="0" b="3810"/>
            <wp:docPr id="217" name="Рисунок 217"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5533FDEA" wp14:editId="46A0D186">
            <wp:extent cx="414655" cy="403860"/>
            <wp:effectExtent l="0" t="0" r="4445" b="0"/>
            <wp:docPr id="216" name="Рисунок 216" descr="https://mobile.olimpoks.ru/Prepare/Doc/1035/5/f6b6ea45-8c63-4ce0-8046-f504baab01c2/i/0320f77f-c776-4c69-9d54-91480ef379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mobile.olimpoks.ru/Prepare/Doc/1035/5/f6b6ea45-8c63-4ce0-8046-f504baab01c2/i/0320f77f-c776-4c69-9d54-91480ef379d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4655"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нормируют согласно таблице 7.10.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Слепящее действие, оказываемое осветительной установкой на водителей, регламентируют предельной силой света светильников в направлении водителей </w:t>
      </w:r>
      <w:r w:rsidRPr="003C0CFF">
        <w:rPr>
          <w:rFonts w:eastAsia="Times New Roman" w:cstheme="minorHAnsi"/>
          <w:noProof/>
          <w:color w:val="000000" w:themeColor="text1"/>
          <w:sz w:val="24"/>
          <w:szCs w:val="24"/>
          <w:lang w:eastAsia="ru-RU"/>
        </w:rPr>
        <w:drawing>
          <wp:inline distT="0" distB="0" distL="0" distR="0" wp14:anchorId="2292E184" wp14:editId="77E244A4">
            <wp:extent cx="755015" cy="329565"/>
            <wp:effectExtent l="0" t="0" r="6985" b="0"/>
            <wp:docPr id="215" name="Рисунок 215" descr="https://mobile.olimpoks.ru/Prepare/Doc/1035/5/f6b6ea45-8c63-4ce0-8046-f504baab01c2/i/ab350c54-d71e-478b-96f5-945c7ebe9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mobile.olimpoks.ru/Prepare/Doc/1035/5/f6b6ea45-8c63-4ce0-8046-f504baab01c2/i/ab350c54-d71e-478b-96f5-945c7ebe92e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5501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согласно 7.5.1.9.</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7.10</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показатели освещения улиц и дорог городских населенных пунктов с регулярным транспортным движением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7.10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51"/>
        <w:gridCol w:w="1623"/>
        <w:gridCol w:w="1061"/>
        <w:gridCol w:w="1101"/>
        <w:gridCol w:w="872"/>
        <w:gridCol w:w="1383"/>
        <w:gridCol w:w="1060"/>
        <w:gridCol w:w="1490"/>
        <w:gridCol w:w="1325"/>
      </w:tblGrid>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объекта</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яркость дорожного покрытия </w:t>
            </w:r>
            <w:r w:rsidRPr="003C0CFF">
              <w:rPr>
                <w:rFonts w:eastAsia="Times New Roman" w:cstheme="minorHAnsi"/>
                <w:noProof/>
                <w:color w:val="000000" w:themeColor="text1"/>
                <w:sz w:val="24"/>
                <w:szCs w:val="24"/>
                <w:lang w:eastAsia="ru-RU"/>
              </w:rPr>
              <w:drawing>
                <wp:inline distT="0" distB="0" distL="0" distR="0" wp14:anchorId="3E70308E" wp14:editId="71037D7E">
                  <wp:extent cx="871855" cy="914400"/>
                  <wp:effectExtent l="0" t="0" r="4445" b="0"/>
                  <wp:docPr id="214" name="Рисунок 214"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не менее</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Общая равномерность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2DF236AC" wp14:editId="40282D8A">
                  <wp:extent cx="223520" cy="191135"/>
                  <wp:effectExtent l="0" t="0" r="5080" b="0"/>
                  <wp:docPr id="213" name="Рисунок 213" descr="https://mobile.olimpoks.ru/Prepare/Doc/1035/5/f6b6ea45-8c63-4ce0-8046-f504baab01c2/i/a6d5df76-addc-49d1-8d28-84099ae7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mobile.olimpoks.ru/Prepare/Doc/1035/5/f6b6ea45-8c63-4ce0-8046-f504baab01c2/i/a6d5df76-addc-49d1-8d28-84099ae7217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Продольная равномерность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6067E4CB" wp14:editId="0CC11B89">
                  <wp:extent cx="372110" cy="372110"/>
                  <wp:effectExtent l="0" t="0" r="8890" b="8890"/>
                  <wp:docPr id="212" name="Рисунок 212"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Пороговое приращение яркости TI, %, не более</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дорожного покрытия </w:t>
            </w:r>
            <w:r w:rsidRPr="003C0CFF">
              <w:rPr>
                <w:rFonts w:eastAsia="Times New Roman" w:cstheme="minorHAnsi"/>
                <w:noProof/>
                <w:color w:val="000000" w:themeColor="text1"/>
                <w:sz w:val="24"/>
                <w:szCs w:val="24"/>
                <w:lang w:eastAsia="ru-RU"/>
              </w:rPr>
              <w:drawing>
                <wp:inline distT="0" distB="0" distL="0" distR="0" wp14:anchorId="674A1DCD" wp14:editId="216622CF">
                  <wp:extent cx="648335" cy="605790"/>
                  <wp:effectExtent l="0" t="0" r="0" b="3810"/>
                  <wp:docPr id="211" name="Рисунок 211"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менее</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Равномерность освещенности дорожного покрытия </w:t>
            </w:r>
            <w:r w:rsidRPr="003C0CFF">
              <w:rPr>
                <w:rFonts w:eastAsia="Times New Roman" w:cstheme="minorHAnsi"/>
                <w:noProof/>
                <w:color w:val="000000" w:themeColor="text1"/>
                <w:sz w:val="24"/>
                <w:szCs w:val="24"/>
                <w:lang w:eastAsia="ru-RU"/>
              </w:rPr>
              <w:drawing>
                <wp:inline distT="0" distB="0" distL="0" distR="0" wp14:anchorId="665210CD" wp14:editId="755B6BC0">
                  <wp:extent cx="233680" cy="223520"/>
                  <wp:effectExtent l="0" t="0" r="0" b="5080"/>
                  <wp:docPr id="210" name="Рисунок 210" descr="https://mobile.olimpoks.ru/Prepare/Doc/1035/5/f6b6ea45-8c63-4ce0-8046-f504baab01c2/i/e2626f46-0d32-407a-bdbe-7af43163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mobile.olimpoks.ru/Prepare/Doc/1035/5/f6b6ea45-8c63-4ce0-8046-f504baab01c2/i/e2626f46-0d32-407a-bdbe-7af43163079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w:t>
            </w:r>
            <w:r w:rsidRPr="003C0CFF">
              <w:rPr>
                <w:rFonts w:eastAsia="Times New Roman" w:cstheme="minorHAnsi"/>
                <w:noProof/>
                <w:color w:val="000000" w:themeColor="text1"/>
                <w:sz w:val="24"/>
                <w:szCs w:val="24"/>
                <w:lang w:eastAsia="ru-RU"/>
              </w:rPr>
              <w:drawing>
                <wp:inline distT="0" distB="0" distL="0" distR="0" wp14:anchorId="4F419870" wp14:editId="2281EBE9">
                  <wp:extent cx="403860" cy="403860"/>
                  <wp:effectExtent l="0" t="0" r="0" b="0"/>
                  <wp:docPr id="209" name="Рисунок 209" descr="https://mobile.olimpoks.ru/Prepare/Doc/1035/5/f6b6ea45-8c63-4ce0-8046-f504baab01c2/i/9f9ef508-9815-4547-a5e1-b916d55d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mobile.olimpoks.ru/Prepare/Doc/1035/5/f6b6ea45-8c63-4ce0-8046-f504baab01c2/i/9f9ef508-9815-4547-a5e1-b916d55de39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 более</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Относительная удельная мощность при нормируемой освещенности, </w:t>
            </w:r>
            <w:r w:rsidRPr="003C0CFF">
              <w:rPr>
                <w:rFonts w:eastAsia="Times New Roman" w:cstheme="minorHAnsi"/>
                <w:noProof/>
                <w:color w:val="000000" w:themeColor="text1"/>
                <w:sz w:val="24"/>
                <w:szCs w:val="24"/>
                <w:lang w:eastAsia="ru-RU"/>
              </w:rPr>
              <w:drawing>
                <wp:inline distT="0" distB="0" distL="0" distR="0" wp14:anchorId="6D4420B5" wp14:editId="69A7C280">
                  <wp:extent cx="244475" cy="233680"/>
                  <wp:effectExtent l="0" t="0" r="3175" b="0"/>
                  <wp:docPr id="208" name="Рисунок 208"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мВт·м‾²·лк‾¹, не более</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0,70</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1,60</w:t>
            </w:r>
          </w:p>
        </w:tc>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А3</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А4</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0,60</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0,80</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0,60</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В3</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3750" w:type="dxa"/>
            <w:gridSpan w:val="9"/>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Значения приведены для осветительных установок со светодиодными источниками света. Для осветительных установок с разрядными источниками света норма коэффициента пульсации освещенности не применяется.</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7.5.1.4. Энергетическую эффективность установки утилитарного наружного освещения оценивают показателем относительной удельной мощности </w:t>
      </w:r>
      <w:r w:rsidRPr="003C0CFF">
        <w:rPr>
          <w:rFonts w:eastAsia="Times New Roman" w:cstheme="minorHAnsi"/>
          <w:noProof/>
          <w:color w:val="000000" w:themeColor="text1"/>
          <w:sz w:val="24"/>
          <w:szCs w:val="24"/>
          <w:lang w:eastAsia="ru-RU"/>
        </w:rPr>
        <w:drawing>
          <wp:inline distT="0" distB="0" distL="0" distR="0" wp14:anchorId="63DDA75A" wp14:editId="496A1564">
            <wp:extent cx="244475" cy="233680"/>
            <wp:effectExtent l="0" t="0" r="3175" b="0"/>
            <wp:docPr id="207" name="Рисунок 207"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согласно таблице 7.10. Методика определения показателя относительной удельной мощности </w:t>
      </w:r>
      <w:r w:rsidRPr="003C0CFF">
        <w:rPr>
          <w:rFonts w:eastAsia="Times New Roman" w:cstheme="minorHAnsi"/>
          <w:noProof/>
          <w:color w:val="000000" w:themeColor="text1"/>
          <w:sz w:val="24"/>
          <w:szCs w:val="24"/>
          <w:lang w:eastAsia="ru-RU"/>
        </w:rPr>
        <w:drawing>
          <wp:inline distT="0" distB="0" distL="0" distR="0" wp14:anchorId="05C3742D" wp14:editId="364C8378">
            <wp:extent cx="244475" cy="233680"/>
            <wp:effectExtent l="0" t="0" r="3175" b="0"/>
            <wp:docPr id="206" name="Рисунок 206"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приведена в приложении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7.5.1.5. Средняя яркость </w:t>
      </w:r>
      <w:r w:rsidRPr="003C0CFF">
        <w:rPr>
          <w:rFonts w:eastAsia="Times New Roman" w:cstheme="minorHAnsi"/>
          <w:noProof/>
          <w:color w:val="000000" w:themeColor="text1"/>
          <w:sz w:val="24"/>
          <w:szCs w:val="24"/>
          <w:lang w:eastAsia="ru-RU"/>
        </w:rPr>
        <w:drawing>
          <wp:inline distT="0" distB="0" distL="0" distR="0" wp14:anchorId="305C5103" wp14:editId="609C9F54">
            <wp:extent cx="871855" cy="914400"/>
            <wp:effectExtent l="0" t="0" r="4445" b="0"/>
            <wp:docPr id="205" name="Рисунок 205"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покрытия магистральных дорог со скоростным движением за пределами города на основных подъездах к аэропортам, речным и морским портам независимо от интенсивности движения транспорта должна быть не менее 1,6 кд/м².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7.5.1.6. Допускается по согласованию с администрацией города увеличивать значения средней яркости </w:t>
      </w:r>
      <w:r w:rsidRPr="003C0CFF">
        <w:rPr>
          <w:rFonts w:eastAsia="Times New Roman" w:cstheme="minorHAnsi"/>
          <w:noProof/>
          <w:color w:val="000000" w:themeColor="text1"/>
          <w:sz w:val="24"/>
          <w:szCs w:val="24"/>
          <w:lang w:eastAsia="ru-RU"/>
        </w:rPr>
        <w:drawing>
          <wp:inline distT="0" distB="0" distL="0" distR="0" wp14:anchorId="73993F0A" wp14:editId="5914678E">
            <wp:extent cx="871855" cy="914400"/>
            <wp:effectExtent l="0" t="0" r="4445" b="0"/>
            <wp:docPr id="204" name="Рисунок 204"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0,20 кд/м² или средней освещенности </w:t>
      </w:r>
      <w:r w:rsidRPr="003C0CFF">
        <w:rPr>
          <w:rFonts w:eastAsia="Times New Roman" w:cstheme="minorHAnsi"/>
          <w:noProof/>
          <w:color w:val="000000" w:themeColor="text1"/>
          <w:sz w:val="24"/>
          <w:szCs w:val="24"/>
          <w:lang w:eastAsia="ru-RU"/>
        </w:rPr>
        <w:drawing>
          <wp:inline distT="0" distB="0" distL="0" distR="0" wp14:anchorId="7ED5956A" wp14:editId="62D1F3C0">
            <wp:extent cx="648335" cy="605790"/>
            <wp:effectExtent l="0" t="0" r="0" b="3810"/>
            <wp:docPr id="203" name="Рисунок 203"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5,0 лк для улиц, дорог и площадей категорий А (за исключением класса А1) и Б, а также вне города на подъездах к аэропортам, вокзалам, гипер- и супермаркетам.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7.5.1.7. Средняя яркость </w:t>
      </w:r>
      <w:r w:rsidRPr="003C0CFF">
        <w:rPr>
          <w:rFonts w:eastAsia="Times New Roman" w:cstheme="minorHAnsi"/>
          <w:noProof/>
          <w:color w:val="000000" w:themeColor="text1"/>
          <w:sz w:val="24"/>
          <w:szCs w:val="24"/>
          <w:lang w:eastAsia="ru-RU"/>
        </w:rPr>
        <w:drawing>
          <wp:inline distT="0" distB="0" distL="0" distR="0" wp14:anchorId="2B80EA7D" wp14:editId="0BB079CE">
            <wp:extent cx="871855" cy="914400"/>
            <wp:effectExtent l="0" t="0" r="4445" b="0"/>
            <wp:docPr id="202" name="Рисунок 202"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или средняя освещенность </w:t>
      </w:r>
      <w:r w:rsidRPr="003C0CFF">
        <w:rPr>
          <w:rFonts w:eastAsia="Times New Roman" w:cstheme="minorHAnsi"/>
          <w:noProof/>
          <w:color w:val="000000" w:themeColor="text1"/>
          <w:sz w:val="24"/>
          <w:szCs w:val="24"/>
          <w:lang w:eastAsia="ru-RU"/>
        </w:rPr>
        <w:drawing>
          <wp:inline distT="0" distB="0" distL="0" distR="0" wp14:anchorId="0C3D96C0" wp14:editId="31CCFF18">
            <wp:extent cx="648335" cy="605790"/>
            <wp:effectExtent l="0" t="0" r="0" b="3810"/>
            <wp:docPr id="201" name="Рисунок 201"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дорожного покрытия дорог и улиц, пересекающихся в одном уровне, должна соответствовать значениям, установленным для основной дороги или улицы, на расстоянии не менее 100 м от линии примыкания.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 съездах и ответвлениях дорог и улиц, пересекающихся в разных уровнях, в границах транспортной развязки значение средней освещенности </w:t>
      </w:r>
      <w:r w:rsidRPr="003C0CFF">
        <w:rPr>
          <w:rFonts w:eastAsia="Times New Roman" w:cstheme="minorHAnsi"/>
          <w:noProof/>
          <w:color w:val="000000" w:themeColor="text1"/>
          <w:sz w:val="24"/>
          <w:szCs w:val="24"/>
          <w:lang w:eastAsia="ru-RU"/>
        </w:rPr>
        <w:drawing>
          <wp:inline distT="0" distB="0" distL="0" distR="0" wp14:anchorId="2063102A" wp14:editId="136FE9F0">
            <wp:extent cx="648335" cy="605790"/>
            <wp:effectExtent l="0" t="0" r="0" b="3810"/>
            <wp:docPr id="200" name="Рисунок 200"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должно быть не менее 20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яркость </w:t>
      </w:r>
      <w:r w:rsidRPr="003C0CFF">
        <w:rPr>
          <w:rFonts w:eastAsia="Times New Roman" w:cstheme="minorHAnsi"/>
          <w:noProof/>
          <w:color w:val="000000" w:themeColor="text1"/>
          <w:sz w:val="24"/>
          <w:szCs w:val="24"/>
          <w:lang w:eastAsia="ru-RU"/>
        </w:rPr>
        <w:drawing>
          <wp:inline distT="0" distB="0" distL="0" distR="0" wp14:anchorId="476E4506" wp14:editId="6C5AD0CB">
            <wp:extent cx="871855" cy="914400"/>
            <wp:effectExtent l="0" t="0" r="4445" b="0"/>
            <wp:docPr id="199" name="Рисунок 199"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или средняя освещенность </w:t>
      </w:r>
      <w:r w:rsidRPr="003C0CFF">
        <w:rPr>
          <w:rFonts w:eastAsia="Times New Roman" w:cstheme="minorHAnsi"/>
          <w:noProof/>
          <w:color w:val="000000" w:themeColor="text1"/>
          <w:sz w:val="24"/>
          <w:szCs w:val="24"/>
          <w:lang w:eastAsia="ru-RU"/>
        </w:rPr>
        <w:drawing>
          <wp:inline distT="0" distB="0" distL="0" distR="0" wp14:anchorId="7308DEE0" wp14:editId="365B1D34">
            <wp:extent cx="648335" cy="605790"/>
            <wp:effectExtent l="0" t="0" r="0" b="3810"/>
            <wp:docPr id="198" name="Рисунок 198"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дорожного покрытия улиц местного значения, примыкающих к магистральной дороге или улице, должны быть не менее 1/3 значений </w:t>
      </w:r>
      <w:r w:rsidRPr="003C0CFF">
        <w:rPr>
          <w:rFonts w:eastAsia="Times New Roman" w:cstheme="minorHAnsi"/>
          <w:noProof/>
          <w:color w:val="000000" w:themeColor="text1"/>
          <w:sz w:val="24"/>
          <w:szCs w:val="24"/>
          <w:lang w:eastAsia="ru-RU"/>
        </w:rPr>
        <w:drawing>
          <wp:inline distT="0" distB="0" distL="0" distR="0" wp14:anchorId="607C2809" wp14:editId="1618BA70">
            <wp:extent cx="871855" cy="914400"/>
            <wp:effectExtent l="0" t="0" r="4445" b="0"/>
            <wp:docPr id="197" name="Рисунок 197"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или </w:t>
      </w:r>
      <w:r w:rsidRPr="003C0CFF">
        <w:rPr>
          <w:rFonts w:eastAsia="Times New Roman" w:cstheme="minorHAnsi"/>
          <w:noProof/>
          <w:color w:val="000000" w:themeColor="text1"/>
          <w:sz w:val="24"/>
          <w:szCs w:val="24"/>
          <w:lang w:eastAsia="ru-RU"/>
        </w:rPr>
        <w:drawing>
          <wp:inline distT="0" distB="0" distL="0" distR="0" wp14:anchorId="4DB51402" wp14:editId="36CD68D8">
            <wp:extent cx="648335" cy="605790"/>
            <wp:effectExtent l="0" t="0" r="0" b="3810"/>
            <wp:docPr id="196" name="Рисунок 196"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установленных для соответствующей дороги или улицы, но не ниже нормированного значения для улицы местного значения на расстоянии не менее 100 м от линии примыкания.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7.5.1.8. Высота размещения светильников на улицах, дорогах и площадях с трамвайным и троллейбусным движением следует принимать с учетом высоты подвешивания контактных проводов по СП 98.13330.2012.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7.5.1.9. На улицах, дорогах и в транспортных зонах площадей, для которых нормируют освещенность, ограничивают силу света светильников в установке под углами 80° и 90° от вертикали в направлении водителей предельными значениями </w:t>
      </w:r>
      <w:r w:rsidRPr="003C0CFF">
        <w:rPr>
          <w:rFonts w:eastAsia="Times New Roman" w:cstheme="minorHAnsi"/>
          <w:noProof/>
          <w:color w:val="000000" w:themeColor="text1"/>
          <w:sz w:val="24"/>
          <w:szCs w:val="24"/>
          <w:lang w:eastAsia="ru-RU"/>
        </w:rPr>
        <w:drawing>
          <wp:inline distT="0" distB="0" distL="0" distR="0" wp14:anchorId="013BF154" wp14:editId="73A5C23C">
            <wp:extent cx="755015" cy="329565"/>
            <wp:effectExtent l="0" t="0" r="6985" b="0"/>
            <wp:docPr id="195" name="Рисунок 195" descr="https://mobile.olimpoks.ru/Prepare/Doc/1035/5/f6b6ea45-8c63-4ce0-8046-f504baab01c2/i/ab350c54-d71e-478b-96f5-945c7ebe9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mobile.olimpoks.ru/Prepare/Doc/1035/5/f6b6ea45-8c63-4ce0-8046-f504baab01c2/i/ab350c54-d71e-478b-96f5-945c7ebe92e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5501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равными 30 и 10 кд соответственно на 1 клм светового потока светильника.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освещении больших площадей и транспортных развязок светильники, установленные на опорах высотой 20 м и более, должны обеспечивать направление максимума силы света под углом не более 65° от вертикали. Сила света светильника под углами 80°, 85° и 90° от вертикали в направлении водителей не должна превышать предельных значений </w:t>
      </w:r>
      <w:r w:rsidRPr="003C0CFF">
        <w:rPr>
          <w:rFonts w:eastAsia="Times New Roman" w:cstheme="minorHAnsi"/>
          <w:noProof/>
          <w:color w:val="000000" w:themeColor="text1"/>
          <w:sz w:val="24"/>
          <w:szCs w:val="24"/>
          <w:lang w:eastAsia="ru-RU"/>
        </w:rPr>
        <w:drawing>
          <wp:inline distT="0" distB="0" distL="0" distR="0" wp14:anchorId="391963C5" wp14:editId="1E155835">
            <wp:extent cx="755015" cy="329565"/>
            <wp:effectExtent l="0" t="0" r="6985" b="0"/>
            <wp:docPr id="194" name="Рисунок 194" descr="https://mobile.olimpoks.ru/Prepare/Doc/1035/5/f6b6ea45-8c63-4ce0-8046-f504baab01c2/i/ab350c54-d71e-478b-96f5-945c7ebe9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mobile.olimpoks.ru/Prepare/Doc/1035/5/f6b6ea45-8c63-4ce0-8046-f504baab01c2/i/ab350c54-d71e-478b-96f5-945c7ebe92e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5501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равных 50, 30 и 10 кд соответственно на 1 клм его светового потока.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Высота расположения светильника над дорожным покрытием проезжей части верхнего уровня транспортного пересечения должна быть не менее 10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7.5.1.10. Средняя освещенность </w:t>
      </w:r>
      <w:r w:rsidRPr="003C0CFF">
        <w:rPr>
          <w:rFonts w:eastAsia="Times New Roman" w:cstheme="minorHAnsi"/>
          <w:noProof/>
          <w:color w:val="000000" w:themeColor="text1"/>
          <w:sz w:val="24"/>
          <w:szCs w:val="24"/>
          <w:lang w:eastAsia="ru-RU"/>
        </w:rPr>
        <w:drawing>
          <wp:inline distT="0" distB="0" distL="0" distR="0" wp14:anchorId="33E5A25A" wp14:editId="0B9219E9">
            <wp:extent cx="648335" cy="605790"/>
            <wp:effectExtent l="0" t="0" r="0" b="3810"/>
            <wp:docPr id="193" name="Рисунок 193"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7EF8B07F" wp14:editId="2597E276">
            <wp:extent cx="233680" cy="223520"/>
            <wp:effectExtent l="0" t="0" r="0" b="5080"/>
            <wp:docPr id="192" name="Рисунок 192" descr="https://mobile.olimpoks.ru/Prepare/Doc/1035/5/f6b6ea45-8c63-4ce0-8046-f504baab01c2/i/e2626f46-0d32-407a-bdbe-7af43163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mobile.olimpoks.ru/Prepare/Doc/1035/5/f6b6ea45-8c63-4ce0-8046-f504baab01c2/i/e2626f46-0d32-407a-bdbe-7af43163079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трамвайных путей, расположенных на проезжей части улиц, должны соответствовать указанным в таблице 7.10. Средняя освещенность </w:t>
      </w:r>
      <w:r w:rsidRPr="003C0CFF">
        <w:rPr>
          <w:rFonts w:eastAsia="Times New Roman" w:cstheme="minorHAnsi"/>
          <w:noProof/>
          <w:color w:val="000000" w:themeColor="text1"/>
          <w:sz w:val="24"/>
          <w:szCs w:val="24"/>
          <w:lang w:eastAsia="ru-RU"/>
        </w:rPr>
        <w:drawing>
          <wp:inline distT="0" distB="0" distL="0" distR="0" wp14:anchorId="4ED7991D" wp14:editId="4019DBFB">
            <wp:extent cx="648335" cy="605790"/>
            <wp:effectExtent l="0" t="0" r="0" b="3810"/>
            <wp:docPr id="191" name="Рисунок 191"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обособленном трамвайном пути должна быть не менее 6 лк, на посадочных площадках - 10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Допускается не освещать обособленные трамвайные пути на перегонах вне городской застройки.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7.5.1.11. Минимальная высота установки светильников в парапетах мостов и путепроводов не ограничивается при условии обеспечения защитного угла не менее 10° и исключения возможности доступа к лампам и пускорегулирующим аппаратам без применения специального инструмента.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7.5.1.12. При нормируемой средней яркости </w:t>
      </w:r>
      <w:r w:rsidRPr="003C0CFF">
        <w:rPr>
          <w:rFonts w:eastAsia="Times New Roman" w:cstheme="minorHAnsi"/>
          <w:noProof/>
          <w:color w:val="000000" w:themeColor="text1"/>
          <w:sz w:val="24"/>
          <w:szCs w:val="24"/>
          <w:lang w:eastAsia="ru-RU"/>
        </w:rPr>
        <w:drawing>
          <wp:inline distT="0" distB="0" distL="0" distR="0" wp14:anchorId="3B18FBFC" wp14:editId="4887B72E">
            <wp:extent cx="871855" cy="914400"/>
            <wp:effectExtent l="0" t="0" r="4445" b="0"/>
            <wp:docPr id="190" name="Рисунок 190"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более 0,80 кд/м² или средней освещенности </w:t>
      </w:r>
      <w:r w:rsidRPr="003C0CFF">
        <w:rPr>
          <w:rFonts w:eastAsia="Times New Roman" w:cstheme="minorHAnsi"/>
          <w:noProof/>
          <w:color w:val="000000" w:themeColor="text1"/>
          <w:sz w:val="24"/>
          <w:szCs w:val="24"/>
          <w:lang w:eastAsia="ru-RU"/>
        </w:rPr>
        <w:drawing>
          <wp:inline distT="0" distB="0" distL="0" distR="0" wp14:anchorId="198B483D" wp14:editId="0F5F0E8D">
            <wp:extent cx="648335" cy="605790"/>
            <wp:effectExtent l="0" t="0" r="0" b="3810"/>
            <wp:docPr id="189" name="Рисунок 189"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более 15 лк для проезжей части городских улиц, дорог и площадей допускается в ночное время снижение этих норм отключением части светильников или понижением их мощности на 30 % и 50 % при уменьшении интенсивности движения до 1/3 и 1/5 максимального значения соответственно.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допускается в ночное время частичное отключение светильников при их установке по одному на опоре.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7.5.1.13. Для надежной ориентации водителей и пешеходов в темное время суток светильники в ряду следует располагать так, чтобы образуемая ими линия однозначно указывала направление дороги или улицы.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7.5.1.14. Средняя освещенность </w:t>
      </w:r>
      <w:r w:rsidRPr="003C0CFF">
        <w:rPr>
          <w:rFonts w:eastAsia="Times New Roman" w:cstheme="minorHAnsi"/>
          <w:noProof/>
          <w:color w:val="000000" w:themeColor="text1"/>
          <w:sz w:val="24"/>
          <w:szCs w:val="24"/>
          <w:lang w:eastAsia="ru-RU"/>
        </w:rPr>
        <w:drawing>
          <wp:inline distT="0" distB="0" distL="0" distR="0" wp14:anchorId="4CBDE826" wp14:editId="2C7FEB19">
            <wp:extent cx="648335" cy="605790"/>
            <wp:effectExtent l="0" t="0" r="0" b="3810"/>
            <wp:docPr id="188" name="Рисунок 188"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426AEA22" wp14:editId="1AA50234">
            <wp:extent cx="233680" cy="223520"/>
            <wp:effectExtent l="0" t="0" r="0" b="5080"/>
            <wp:docPr id="187" name="Рисунок 187" descr="https://mobile.olimpoks.ru/Prepare/Doc/1035/5/f6b6ea45-8c63-4ce0-8046-f504baab01c2/i/e2626f46-0d32-407a-bdbe-7af43163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obile.olimpoks.ru/Prepare/Doc/1035/5/f6b6ea45-8c63-4ce0-8046-f504baab01c2/i/e2626f46-0d32-407a-bdbe-7af43163079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дорожном покрытии улиц, дорог, проездов и площадей сельских поселений должны соответствовать таблице 7.11.</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показатели освещения улиц и дорог сельских поселений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Освещаемые объекты</w:t>
            </w:r>
          </w:p>
        </w:tc>
        <w:tc>
          <w:tcPr>
            <w:tcW w:w="246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752554A" wp14:editId="3C9ECDE7">
                  <wp:extent cx="648335" cy="605790"/>
                  <wp:effectExtent l="0" t="0" r="0" b="3810"/>
                  <wp:docPr id="186" name="Рисунок 186"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менее</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34DDE7A" wp14:editId="4D5CB3B4">
                  <wp:extent cx="233680" cy="223520"/>
                  <wp:effectExtent l="0" t="0" r="0" b="5080"/>
                  <wp:docPr id="185" name="Рисунок 185" descr="https://mobile.olimpoks.ru/Prepare/Doc/1035/5/f6b6ea45-8c63-4ce0-8046-f504baab01c2/i/e2626f46-0d32-407a-bdbe-7af43163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mobile.olimpoks.ru/Prepare/Doc/1035/5/f6b6ea45-8c63-4ce0-8046-f504baab01c2/i/e2626f46-0d32-407a-bdbe-7af43163079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Главные улицы, площади общественных и торговых центров</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0,25</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Улицы в жилой застройке:</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основные</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второстепенные (переулки)</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Поселковые дороги, проезды на территории садовых товариществ и дачных кооперативов</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7.5.1.15. Средняя освещенность </w:t>
      </w:r>
      <w:r w:rsidRPr="003C0CFF">
        <w:rPr>
          <w:rFonts w:eastAsia="Times New Roman" w:cstheme="minorHAnsi"/>
          <w:noProof/>
          <w:color w:val="000000" w:themeColor="text1"/>
          <w:sz w:val="24"/>
          <w:szCs w:val="24"/>
          <w:lang w:eastAsia="ru-RU"/>
        </w:rPr>
        <w:drawing>
          <wp:inline distT="0" distB="0" distL="0" distR="0" wp14:anchorId="7866E1DF" wp14:editId="1DF40DEB">
            <wp:extent cx="648335" cy="605790"/>
            <wp:effectExtent l="0" t="0" r="0" b="3810"/>
            <wp:docPr id="184" name="Рисунок 184"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дорожном покрытии на подъездах к местам заправки транспорта, а также на открытых стоянках автомобилей должна соответствовать таблице 7.12.</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Освещение автозаправочных станций и стоянок автомобилей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90"/>
        <w:gridCol w:w="3690"/>
      </w:tblGrid>
      <w:tr w:rsidR="003C0CFF" w:rsidRPr="003C0CFF" w:rsidTr="003C0CFF">
        <w:tc>
          <w:tcPr>
            <w:tcW w:w="369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Освещаемые объекты</w:t>
            </w:r>
          </w:p>
        </w:tc>
        <w:tc>
          <w:tcPr>
            <w:tcW w:w="369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6C6A50C" wp14:editId="7DB68B6E">
                  <wp:extent cx="648335" cy="605790"/>
                  <wp:effectExtent l="0" t="0" r="0" b="3810"/>
                  <wp:docPr id="183" name="Рисунок 183"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менее</w:t>
            </w:r>
          </w:p>
        </w:tc>
      </w:tr>
      <w:tr w:rsidR="003C0CFF" w:rsidRPr="003C0CFF" w:rsidTr="003C0CFF">
        <w:tc>
          <w:tcPr>
            <w:tcW w:w="369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Подъездные пути к объектам сервиса для улиц и дорог:</w:t>
            </w:r>
          </w:p>
        </w:tc>
        <w:tc>
          <w:tcPr>
            <w:tcW w:w="3690" w:type="dxa"/>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категорий А и Б</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категории В</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Места заправки и слива нефтепродуктов</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Проезжая часть остальной территории автозаправочных станций</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Открытые стоянки автомобилей на улицах всех категорий, а также платные вне улиц, открытые стоянки автомобилей в микрорайонах, проезды между рядами гаражей боксового типа</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7.5.1.16. Осветительные приборы, установленные на территориях автозаправочных станций и стоянок автомобилей, должны иметь силу света в направлении водителей транспортных средств, проезжающих по прилегающим к этим территориям улицам и дорогам, не более 30 кд на 1 клм светового потока этих приборов. Не допускается направлять прожекторы, установленные на крышах и навесах строений или опорах, в сторону проезжей части улицы или дороги.</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7.5.2. Освещение пешеходных переходов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7.5.2.1. Освещение наземных пешеходных переходов (в одном уровне с проезжей частью) должно обеспечивать пешеходам возможность видеть препятствия и дефекты дорожного покрытия, а водителям транспортных средств - видеть пешеходов на фоне дорожного покрытия проезжей части. В целях усиления распознаваемости зоны перехода для ее освещения целесообразно использовать светильники с источниками света, имеющими цветность, контрастную по отношению к цветности источников света, применяемых в светильниках для освещения проезжей части улицы.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например, для дороги, освещаемой светильниками с натриевыми лампами высокого давления, на переходе целесообразно использовать светильники с металлогалогенными лампами или светодиодные светильники.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7.5.2.2. На наземных пешеходных переходах улиц и дорог категорий А и Б следует предусматривать повышение средней освещенности </w:t>
      </w:r>
      <w:r w:rsidRPr="003C0CFF">
        <w:rPr>
          <w:rFonts w:eastAsia="Times New Roman" w:cstheme="minorHAnsi"/>
          <w:noProof/>
          <w:color w:val="000000" w:themeColor="text1"/>
          <w:sz w:val="24"/>
          <w:szCs w:val="24"/>
          <w:lang w:eastAsia="ru-RU"/>
        </w:rPr>
        <w:drawing>
          <wp:inline distT="0" distB="0" distL="0" distR="0" wp14:anchorId="5F100580" wp14:editId="04AFFA29">
            <wp:extent cx="648335" cy="605790"/>
            <wp:effectExtent l="0" t="0" r="0" b="3810"/>
            <wp:docPr id="182" name="Рисунок 182"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 чем в 1,5 раза по сравнению с нормой освещенности на пересекаемой проезжей части. Повышения освещенности достигают уменьшением шага опор и установкой дополнительных или более мощных светильников.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Светораспределение светильников и их расположение относительно наземного пешеходного перехода должны обеспечивать видимость пешехода на фоне дорожного покрытия проезжей части и не оказывать слепящего действия на водителей. Светильники следует размещать перед переходом по отношению к направлению транспортного движения. На улицах и дорогах с двусторонним движением светильники устанавливают перед переходом относительно обоих направлений движения.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снижения слепимости водителей следует использовать светильники с асимметричным светораспределением (кососветы), ориентируя максимум силы света в сторону перехода.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7.5.2.3. Значения средней освещенности </w:t>
      </w:r>
      <w:r w:rsidRPr="003C0CFF">
        <w:rPr>
          <w:rFonts w:eastAsia="Times New Roman" w:cstheme="minorHAnsi"/>
          <w:noProof/>
          <w:color w:val="000000" w:themeColor="text1"/>
          <w:sz w:val="24"/>
          <w:szCs w:val="24"/>
          <w:lang w:eastAsia="ru-RU"/>
        </w:rPr>
        <w:drawing>
          <wp:inline distT="0" distB="0" distL="0" distR="0" wp14:anchorId="6E1CB7A1" wp14:editId="5EBD994B">
            <wp:extent cx="648335" cy="605790"/>
            <wp:effectExtent l="0" t="0" r="0" b="3810"/>
            <wp:docPr id="181" name="Рисунок 181"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покрытии подземных и надземных пешеходных переходов приведены в таблице 7.13.</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7.13</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Значения средней освещенности подземных и надземных пешеходных переходов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90"/>
        <w:gridCol w:w="3690"/>
      </w:tblGrid>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Освещаемые объекты</w:t>
            </w:r>
          </w:p>
        </w:tc>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AAEAB30" wp14:editId="09EA1B38">
                  <wp:extent cx="648335" cy="605790"/>
                  <wp:effectExtent l="0" t="0" r="0" b="3810"/>
                  <wp:docPr id="180" name="Рисунок 180"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менее</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Подземные пешеходные переходы и тоннели:</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проходы</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лестницы и пандусы</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Открытые пешеходные мостики</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Надземные пешеходные переходы с прозрачными стенами и потолком или застекленными стеновыми проемами:</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проходы</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лестничные сходы, съезды и смотровые площадки</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7.5.2.4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7522F175" wp14:editId="58960598">
            <wp:extent cx="233680" cy="223520"/>
            <wp:effectExtent l="0" t="0" r="0" b="5080"/>
            <wp:docPr id="179" name="Рисунок 179" descr="https://mobile.olimpoks.ru/Prepare/Doc/1035/5/f6b6ea45-8c63-4ce0-8046-f504baab01c2/i/e2626f46-0d32-407a-bdbe-7af43163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mobile.olimpoks.ru/Prepare/Doc/1035/5/f6b6ea45-8c63-4ce0-8046-f504baab01c2/i/e2626f46-0d32-407a-bdbe-7af43163079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покрытия подземных и надземных переходов должна быть не менее 0,3.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подземных и надземных пешеходных переходах используют светильники с защитным углом не менее 15° или с диффузными или призматическими рассеивателями.</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7.5.3. Освещение автодорожных тоннелей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 Транспортные зоны (проезжая часть), служебно-технические и вспомогательные помещения тоннеля должны иметь искусственное рабочее и аварийное освещение, включающее в себя эвакуационное и резервное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7.5.3.2. В зависимости от характера движения (одностороннее или двустороннее в одной трубе) и интенсивности транспортного потока тоннели подразделяются на три класса по освещению в соответствии с таблицей 7.14.</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7.14</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Классификация тоннелей по освещению</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32"/>
        <w:gridCol w:w="1115"/>
        <w:gridCol w:w="1236"/>
        <w:gridCol w:w="1035"/>
        <w:gridCol w:w="1115"/>
        <w:gridCol w:w="1115"/>
        <w:gridCol w:w="1065"/>
      </w:tblGrid>
      <w:tr w:rsidR="003C0CFF" w:rsidRPr="003C0CFF" w:rsidTr="003C0CFF">
        <w:tc>
          <w:tcPr>
            <w:tcW w:w="12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Интенсивность движения на одну полосу, ед./ч</w:t>
            </w:r>
          </w:p>
        </w:tc>
        <w:tc>
          <w:tcPr>
            <w:tcW w:w="6165" w:type="dxa"/>
            <w:gridSpan w:val="6"/>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Движение</w:t>
            </w:r>
          </w:p>
        </w:tc>
      </w:tr>
      <w:tr w:rsidR="003C0CFF" w:rsidRPr="003C0CFF" w:rsidTr="003C0CFF">
        <w:tc>
          <w:tcPr>
            <w:tcW w:w="12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7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Одностороннее</w:t>
            </w:r>
          </w:p>
        </w:tc>
        <w:tc>
          <w:tcPr>
            <w:tcW w:w="307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Двустороннее</w:t>
            </w:r>
          </w:p>
        </w:tc>
      </w:tr>
      <w:tr w:rsidR="003C0CFF" w:rsidRPr="003C0CFF" w:rsidTr="003C0CFF">
        <w:tc>
          <w:tcPr>
            <w:tcW w:w="12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500 включ.</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500 до 1500 включ.</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1500</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100 включ.</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100 до 400 включ.</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400</w:t>
            </w:r>
          </w:p>
        </w:tc>
      </w:tr>
      <w:tr w:rsidR="003C0CFF" w:rsidRPr="003C0CFF" w:rsidTr="003C0CFF">
        <w:tc>
          <w:tcPr>
            <w:tcW w:w="12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тоннеля</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7380" w:type="dxa"/>
            <w:gridSpan w:val="7"/>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при наличии факторов, ухудшающих условия безопасности или комфортности движения в тоннеле (например, боковых въездов и выездов), класс тоннеля может быть повышен на одну ступень, за исключением класса 3.</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7.5.3.3. Рабочее освещение транспортной зоны тоннеля должно предусматривать дневной и ночной режимы.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7.5.3.4. Для дневного режима в транспортной зоне следует выделять четыре яркостные зоны тоннеля: пороговую, переходную, внутреннюю и выездную. Кроме того, перед въездным порталом выделяется подъездная зона. Расположение зон тоннеля приведено в приложении Ж.</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7.5.3.5. Длину пороговой зоны следует принимать равной РБТ, значения которого в зависимости от расчетной скорости движения транспортного потока должны соответствовать указанным в таблице 7.15.</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7.15</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Расстояние безопасного торможения (РБТ)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29"/>
        <w:gridCol w:w="1230"/>
        <w:gridCol w:w="1230"/>
        <w:gridCol w:w="1230"/>
        <w:gridCol w:w="1230"/>
        <w:gridCol w:w="1230"/>
      </w:tblGrid>
      <w:tr w:rsidR="003C0CFF" w:rsidRPr="003C0CFF" w:rsidTr="003C0CFF">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Расчетная скорость движения, км/ч</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r>
      <w:tr w:rsidR="003C0CFF" w:rsidRPr="003C0CFF" w:rsidTr="003C0CFF">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РБТ, м</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155</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220</w:t>
            </w:r>
          </w:p>
        </w:tc>
      </w:tr>
      <w:tr w:rsidR="003C0CFF" w:rsidRPr="003C0CFF" w:rsidTr="003C0CFF">
        <w:tc>
          <w:tcPr>
            <w:tcW w:w="7380" w:type="dxa"/>
            <w:gridSpan w:val="6"/>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Используется на боковых въездах в тоннель.</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При уклоне продольного профиля дорожного полотна в подъездной зоне 10 ‰ и более приведенные значения РБТ следует увеличить на 3 % при спуске или уменьшить на 2,5 % при подъеме на каждые 10 ‰ уклона к въездному порталу.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Для промежуточных значений расчетной скорости значения РБТ определяют линейным интерполированием с округлением до целого числа.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7.5.3.6. Продольное распределение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0E618E3C" wp14:editId="4F9A4A7E">
            <wp:extent cx="297815" cy="244475"/>
            <wp:effectExtent l="0" t="0" r="6985" b="3175"/>
            <wp:docPr id="178" name="Рисунок 178"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первой половине пороговой зоны тоннеля должно быть постоянным, а во второй половине - линейно спадать, достигая к концу этой зоны 40 % значения средней яркости </w:t>
      </w:r>
      <w:r w:rsidRPr="003C0CFF">
        <w:rPr>
          <w:rFonts w:eastAsia="Times New Roman" w:cstheme="minorHAnsi"/>
          <w:noProof/>
          <w:color w:val="000000" w:themeColor="text1"/>
          <w:sz w:val="24"/>
          <w:szCs w:val="24"/>
          <w:lang w:eastAsia="ru-RU"/>
        </w:rPr>
        <w:drawing>
          <wp:inline distT="0" distB="0" distL="0" distR="0" wp14:anchorId="6D28B48A" wp14:editId="4DA2FA22">
            <wp:extent cx="297815" cy="244475"/>
            <wp:effectExtent l="0" t="0" r="6985" b="3175"/>
            <wp:docPr id="177" name="Рисунок 177"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первой половине пороговой зоны.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Отношение средней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0062C8B1" wp14:editId="68B9D5B6">
            <wp:extent cx="297815" cy="244475"/>
            <wp:effectExtent l="0" t="0" r="6985" b="3175"/>
            <wp:docPr id="176" name="Рисунок 176"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первой половине пороговой зоны тоннеля к яркости адаптации </w:t>
      </w:r>
      <w:r w:rsidRPr="003C0CFF">
        <w:rPr>
          <w:rFonts w:eastAsia="Times New Roman" w:cstheme="minorHAnsi"/>
          <w:noProof/>
          <w:color w:val="000000" w:themeColor="text1"/>
          <w:sz w:val="24"/>
          <w:szCs w:val="24"/>
          <w:lang w:eastAsia="ru-RU"/>
        </w:rPr>
        <w:drawing>
          <wp:inline distT="0" distB="0" distL="0" distR="0" wp14:anchorId="3C4895CA" wp14:editId="47A7331C">
            <wp:extent cx="329565" cy="255270"/>
            <wp:effectExtent l="0" t="0" r="0" b="0"/>
            <wp:docPr id="175" name="Рисунок 175"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определяемой в соответствии с приложением Ж, должно быть не менее значений, указанных в таблице 7.16.</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7.16</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значения отношения средней яркости дорожного покрытия в первой половине пороговой зоны тоннеля к яркости адаптации </w:t>
      </w:r>
      <w:r w:rsidRPr="003C0CFF">
        <w:rPr>
          <w:rFonts w:eastAsia="Times New Roman" w:cstheme="minorHAnsi"/>
          <w:noProof/>
          <w:color w:val="000000" w:themeColor="text1"/>
          <w:sz w:val="24"/>
          <w:szCs w:val="24"/>
          <w:lang w:eastAsia="ru-RU"/>
        </w:rPr>
        <w:drawing>
          <wp:inline distT="0" distB="0" distL="0" distR="0" wp14:anchorId="74609302" wp14:editId="37F4ABC3">
            <wp:extent cx="297815" cy="244475"/>
            <wp:effectExtent l="0" t="0" r="6985" b="3175"/>
            <wp:docPr id="174" name="Рисунок 174"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b/>
          <w:bCs/>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06E3161" wp14:editId="5E693266">
            <wp:extent cx="329565" cy="255270"/>
            <wp:effectExtent l="0" t="0" r="0" b="0"/>
            <wp:docPr id="173" name="Рисунок 173"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50"/>
        <w:gridCol w:w="1050"/>
        <w:gridCol w:w="1050"/>
        <w:gridCol w:w="1050"/>
        <w:gridCol w:w="1050"/>
        <w:gridCol w:w="1050"/>
        <w:gridCol w:w="1080"/>
      </w:tblGrid>
      <w:tr w:rsidR="003C0CFF" w:rsidRPr="003C0CFF" w:rsidTr="003C0CFF">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тоннеля</w:t>
            </w:r>
          </w:p>
        </w:tc>
        <w:tc>
          <w:tcPr>
            <w:tcW w:w="6330" w:type="dxa"/>
            <w:gridSpan w:val="6"/>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4BF5CEF" wp14:editId="3C5CE330">
                  <wp:extent cx="297815" cy="244475"/>
                  <wp:effectExtent l="0" t="0" r="6985" b="3175"/>
                  <wp:docPr id="172" name="Рисунок 172"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52848247" wp14:editId="4086AF77">
                  <wp:extent cx="329565" cy="255270"/>
                  <wp:effectExtent l="0" t="0" r="0" b="0"/>
                  <wp:docPr id="171" name="Рисунок 171"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при РБТ, м</w:t>
            </w:r>
          </w:p>
        </w:tc>
      </w:tr>
      <w:tr w:rsidR="003C0CFF" w:rsidRPr="003C0CFF" w:rsidTr="003C0CFF">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60 включ.</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160</w:t>
            </w:r>
          </w:p>
        </w:tc>
      </w:tr>
      <w:tr w:rsidR="003C0CFF" w:rsidRPr="003C0CFF" w:rsidTr="003C0CFF">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r>
      <w:tr w:rsidR="003C0CFF" w:rsidRPr="003C0CFF" w:rsidTr="003C0CFF">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4,4</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4,7</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5,6</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6,3</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w:t>
            </w:r>
          </w:p>
        </w:tc>
      </w:tr>
      <w:tr w:rsidR="003C0CFF" w:rsidRPr="003C0CFF" w:rsidTr="003C0CFF">
        <w:tc>
          <w:tcPr>
            <w:tcW w:w="7380" w:type="dxa"/>
            <w:gridSpan w:val="7"/>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Для боковых въездов в тоннель при РБТ менее 55 м применяют норму </w:t>
            </w:r>
            <w:r w:rsidRPr="003C0CFF">
              <w:rPr>
                <w:rFonts w:eastAsia="Times New Roman" w:cstheme="minorHAnsi"/>
                <w:noProof/>
                <w:color w:val="000000" w:themeColor="text1"/>
                <w:sz w:val="24"/>
                <w:szCs w:val="24"/>
                <w:lang w:eastAsia="ru-RU"/>
              </w:rPr>
              <w:drawing>
                <wp:inline distT="0" distB="0" distL="0" distR="0" wp14:anchorId="0A0641A0" wp14:editId="2D103EFD">
                  <wp:extent cx="297815" cy="244475"/>
                  <wp:effectExtent l="0" t="0" r="6985" b="3175"/>
                  <wp:docPr id="170" name="Рисунок 170"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634D3BA9" wp14:editId="24F6B4BD">
                  <wp:extent cx="329565" cy="255270"/>
                  <wp:effectExtent l="0" t="0" r="0" b="0"/>
                  <wp:docPr id="169" name="Рисунок 169"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1,5 %.</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Для промежуточных значений РБТ значения </w:t>
            </w:r>
            <w:r w:rsidRPr="003C0CFF">
              <w:rPr>
                <w:rFonts w:eastAsia="Times New Roman" w:cstheme="minorHAnsi"/>
                <w:noProof/>
                <w:color w:val="000000" w:themeColor="text1"/>
                <w:sz w:val="24"/>
                <w:szCs w:val="24"/>
                <w:lang w:eastAsia="ru-RU"/>
              </w:rPr>
              <w:drawing>
                <wp:inline distT="0" distB="0" distL="0" distR="0" wp14:anchorId="2780712E" wp14:editId="0582C63C">
                  <wp:extent cx="297815" cy="244475"/>
                  <wp:effectExtent l="0" t="0" r="6985" b="3175"/>
                  <wp:docPr id="168" name="Рисунок 168"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04FB9B15" wp14:editId="43791958">
                  <wp:extent cx="329565" cy="255270"/>
                  <wp:effectExtent l="0" t="0" r="0" b="0"/>
                  <wp:docPr id="167" name="Рисунок 167"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определяют линейным интерполированием с округлением до одного знака после запятой.</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тоннелях, имеющих при въезде участки с открытыми проемами в стенах или солнцезащитные экраны перед въездным порталом, пороговая зона отсчитывается от начала этих участков. В этом случае распределение яркости в пороговой зоне определяется с учетом действия дневного света и должно иметь характер такой же, как и при искусственном освещении.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7.5.3.7. Яркость дорожного покрытия в первой половине пороговой зоны коротких тоннелей относительно нормируемой яркости длинных тоннелей определяется согласно таблице 7.17.</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7.17</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Освещение коротких тоннелей в дневном режиме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Длина тоннеля, м</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Радиус кривой въездного пути участка в плане, м</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Относительный уровень освещения в сравнении с нормируемым по таблице 7.14, %</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25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Любой</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не требуется</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25 до 75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350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350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75 до 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350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350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125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Любой</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7.5.3.8. В переходной зоне тоннеля продольное распределение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17CE1EF6" wp14:editId="59867C9C">
            <wp:extent cx="499745" cy="446405"/>
            <wp:effectExtent l="0" t="0" r="0" b="0"/>
            <wp:docPr id="166" name="Рисунок 166"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 удалении от пороговой зоны должно носить плавно спадающий характер. Отношение яркости </w:t>
      </w:r>
      <w:r w:rsidRPr="003C0CFF">
        <w:rPr>
          <w:rFonts w:eastAsia="Times New Roman" w:cstheme="minorHAnsi"/>
          <w:noProof/>
          <w:color w:val="000000" w:themeColor="text1"/>
          <w:sz w:val="24"/>
          <w:szCs w:val="24"/>
          <w:lang w:eastAsia="ru-RU"/>
        </w:rPr>
        <w:drawing>
          <wp:inline distT="0" distB="0" distL="0" distR="0" wp14:anchorId="1767642F" wp14:editId="747B2E0C">
            <wp:extent cx="499745" cy="446405"/>
            <wp:effectExtent l="0" t="0" r="0" b="0"/>
            <wp:docPr id="165" name="Рисунок 165"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каждой точке переходной зоны к средней яркости </w:t>
      </w:r>
      <w:r w:rsidRPr="003C0CFF">
        <w:rPr>
          <w:rFonts w:eastAsia="Times New Roman" w:cstheme="minorHAnsi"/>
          <w:noProof/>
          <w:color w:val="000000" w:themeColor="text1"/>
          <w:sz w:val="24"/>
          <w:szCs w:val="24"/>
          <w:lang w:eastAsia="ru-RU"/>
        </w:rPr>
        <w:drawing>
          <wp:inline distT="0" distB="0" distL="0" distR="0" wp14:anchorId="34A26D6F" wp14:editId="564D0487">
            <wp:extent cx="297815" cy="244475"/>
            <wp:effectExtent l="0" t="0" r="6985" b="3175"/>
            <wp:docPr id="164" name="Рисунок 164"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первой половине пороговой зоны должно быть не менее соответствующих значений стандартной кривой спада относительной яркости в переходной зоне </w:t>
      </w:r>
      <w:r w:rsidRPr="003C0CFF">
        <w:rPr>
          <w:rFonts w:eastAsia="Times New Roman" w:cstheme="minorHAnsi"/>
          <w:noProof/>
          <w:color w:val="000000" w:themeColor="text1"/>
          <w:sz w:val="24"/>
          <w:szCs w:val="24"/>
          <w:lang w:eastAsia="ru-RU"/>
        </w:rPr>
        <w:drawing>
          <wp:inline distT="0" distB="0" distL="0" distR="0" wp14:anchorId="63B39AA3" wp14:editId="7C40591F">
            <wp:extent cx="499745" cy="446405"/>
            <wp:effectExtent l="0" t="0" r="0" b="0"/>
            <wp:docPr id="163" name="Рисунок 163"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BA7E868" wp14:editId="038BB839">
            <wp:extent cx="297815" cy="244475"/>
            <wp:effectExtent l="0" t="0" r="6985" b="3175"/>
            <wp:docPr id="162" name="Рисунок 162"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приведенной в приложении Ж.</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Допускается ступенчатый спад относительной яркости </w:t>
      </w:r>
      <w:r w:rsidRPr="003C0CFF">
        <w:rPr>
          <w:rFonts w:eastAsia="Times New Roman" w:cstheme="minorHAnsi"/>
          <w:noProof/>
          <w:color w:val="000000" w:themeColor="text1"/>
          <w:sz w:val="24"/>
          <w:szCs w:val="24"/>
          <w:lang w:eastAsia="ru-RU"/>
        </w:rPr>
        <w:drawing>
          <wp:inline distT="0" distB="0" distL="0" distR="0" wp14:anchorId="22271F67" wp14:editId="51EC6AD7">
            <wp:extent cx="499745" cy="446405"/>
            <wp:effectExtent l="0" t="0" r="0" b="0"/>
            <wp:docPr id="161" name="Рисунок 161"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75CB8B53" wp14:editId="1CACEB76">
            <wp:extent cx="297815" cy="244475"/>
            <wp:effectExtent l="0" t="0" r="6985" b="3175"/>
            <wp:docPr id="160" name="Рисунок 160"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 котором каждая ступень отношения </w:t>
      </w:r>
      <w:r w:rsidRPr="003C0CFF">
        <w:rPr>
          <w:rFonts w:eastAsia="Times New Roman" w:cstheme="minorHAnsi"/>
          <w:noProof/>
          <w:color w:val="000000" w:themeColor="text1"/>
          <w:sz w:val="24"/>
          <w:szCs w:val="24"/>
          <w:lang w:eastAsia="ru-RU"/>
        </w:rPr>
        <w:drawing>
          <wp:inline distT="0" distB="0" distL="0" distR="0" wp14:anchorId="30D1CE88" wp14:editId="7BED07E0">
            <wp:extent cx="499745" cy="446405"/>
            <wp:effectExtent l="0" t="0" r="0" b="0"/>
            <wp:docPr id="159" name="Рисунок 159"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F541FB9" wp14:editId="6951E614">
            <wp:extent cx="297815" cy="244475"/>
            <wp:effectExtent l="0" t="0" r="6985" b="3175"/>
            <wp:docPr id="158" name="Рисунок 158"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должна быть не ниже стандартной кривой спада относительной яркости переходной зоны, а перепад яркости при переходе от одной ступени к следующей не должен превышать отношения 3:1. Пример ступенчатого спада яркости показан на рисунке Ж.3 приложения Ж.</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Конец переходной зоны определяют в месте, где значение яркости переходной зоны тоннеля </w:t>
      </w:r>
      <w:r w:rsidRPr="003C0CFF">
        <w:rPr>
          <w:rFonts w:eastAsia="Times New Roman" w:cstheme="minorHAnsi"/>
          <w:noProof/>
          <w:color w:val="000000" w:themeColor="text1"/>
          <w:sz w:val="24"/>
          <w:szCs w:val="24"/>
          <w:lang w:eastAsia="ru-RU"/>
        </w:rPr>
        <w:drawing>
          <wp:inline distT="0" distB="0" distL="0" distR="0" wp14:anchorId="05F4805C" wp14:editId="0FECFCE7">
            <wp:extent cx="499745" cy="446405"/>
            <wp:effectExtent l="0" t="0" r="0" b="0"/>
            <wp:docPr id="157" name="Рисунок 157"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спадает до троекратного значения средней яркости внутренней зоны тоннеля </w:t>
      </w:r>
      <w:r w:rsidRPr="003C0CFF">
        <w:rPr>
          <w:rFonts w:eastAsia="Times New Roman" w:cstheme="minorHAnsi"/>
          <w:noProof/>
          <w:color w:val="000000" w:themeColor="text1"/>
          <w:sz w:val="24"/>
          <w:szCs w:val="24"/>
          <w:lang w:eastAsia="ru-RU"/>
        </w:rPr>
        <w:drawing>
          <wp:inline distT="0" distB="0" distL="0" distR="0" wp14:anchorId="11AED53B" wp14:editId="7B36EB75">
            <wp:extent cx="276225" cy="255270"/>
            <wp:effectExtent l="0" t="0" r="9525" b="0"/>
            <wp:docPr id="156" name="Рисунок 156"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дополнительного комфорта водителя в случае ступенчатого спада яркости рекомендуется увеличивать длину переходной зоны на расстояние, проезжаемое транспортным средством с проектной скоростью за время 1 - 2 с.</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7.5.3.9. В тоннелях с двусторонним движением в одной трубе пороговую и переходную зоны следует устраивать со стороны каждого портала.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7.5.3.10. Следует предусматривать автоматическое регулирование дневного режима освещения пороговой и переходной зон тоннеля в зависимости от яркости адаптации в подъездной зоне </w:t>
      </w:r>
      <w:r w:rsidRPr="003C0CFF">
        <w:rPr>
          <w:rFonts w:eastAsia="Times New Roman" w:cstheme="minorHAnsi"/>
          <w:noProof/>
          <w:color w:val="000000" w:themeColor="text1"/>
          <w:sz w:val="24"/>
          <w:szCs w:val="24"/>
          <w:lang w:eastAsia="ru-RU"/>
        </w:rPr>
        <w:drawing>
          <wp:inline distT="0" distB="0" distL="0" distR="0" wp14:anchorId="04F3DC19" wp14:editId="1A4F5079">
            <wp:extent cx="329565" cy="255270"/>
            <wp:effectExtent l="0" t="0" r="0" b="0"/>
            <wp:docPr id="155" name="Рисунок 155"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данный момент времени, обеспечивая при этом нормируемое значение отношения </w:t>
      </w:r>
      <w:r w:rsidRPr="003C0CFF">
        <w:rPr>
          <w:rFonts w:eastAsia="Times New Roman" w:cstheme="minorHAnsi"/>
          <w:noProof/>
          <w:color w:val="000000" w:themeColor="text1"/>
          <w:sz w:val="24"/>
          <w:szCs w:val="24"/>
          <w:lang w:eastAsia="ru-RU"/>
        </w:rPr>
        <w:drawing>
          <wp:inline distT="0" distB="0" distL="0" distR="0" wp14:anchorId="6FCEFDEF" wp14:editId="72F09AB4">
            <wp:extent cx="297815" cy="244475"/>
            <wp:effectExtent l="0" t="0" r="6985" b="3175"/>
            <wp:docPr id="154" name="Рисунок 154"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136BE65A" wp14:editId="2D70C105">
            <wp:extent cx="329565" cy="255270"/>
            <wp:effectExtent l="0" t="0" r="0" b="0"/>
            <wp:docPr id="153" name="Рисунок 153"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 соответствии с таблицей 7.17.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7.5.3.11. Во внутренней зоне тоннеля нормируемые значения средней яркости дорожного покрытия </w:t>
      </w:r>
      <w:r w:rsidRPr="003C0CFF">
        <w:rPr>
          <w:rFonts w:eastAsia="Times New Roman" w:cstheme="minorHAnsi"/>
          <w:noProof/>
          <w:color w:val="000000" w:themeColor="text1"/>
          <w:sz w:val="24"/>
          <w:szCs w:val="24"/>
          <w:lang w:eastAsia="ru-RU"/>
        </w:rPr>
        <w:drawing>
          <wp:inline distT="0" distB="0" distL="0" distR="0" wp14:anchorId="59A9AABE" wp14:editId="5D081144">
            <wp:extent cx="276225" cy="255270"/>
            <wp:effectExtent l="0" t="0" r="9525" b="0"/>
            <wp:docPr id="152" name="Рисунок 152"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должны соответствовать данным таблицы 7.18.</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7.18</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значения средней яркости дорожного покрытия внутренней зоны </w:t>
      </w:r>
      <w:r w:rsidRPr="003C0CFF">
        <w:rPr>
          <w:rFonts w:eastAsia="Times New Roman" w:cstheme="minorHAnsi"/>
          <w:noProof/>
          <w:color w:val="000000" w:themeColor="text1"/>
          <w:sz w:val="24"/>
          <w:szCs w:val="24"/>
          <w:lang w:eastAsia="ru-RU"/>
        </w:rPr>
        <w:drawing>
          <wp:inline distT="0" distB="0" distL="0" distR="0" wp14:anchorId="198B3A2B" wp14:editId="0D433CA5">
            <wp:extent cx="276225" cy="255270"/>
            <wp:effectExtent l="0" t="0" r="9525" b="0"/>
            <wp:docPr id="151" name="Рисунок 151"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0"/>
        <w:gridCol w:w="993"/>
        <w:gridCol w:w="990"/>
        <w:gridCol w:w="990"/>
        <w:gridCol w:w="990"/>
        <w:gridCol w:w="990"/>
        <w:gridCol w:w="1080"/>
      </w:tblGrid>
      <w:tr w:rsidR="003C0CFF" w:rsidRPr="003C0CFF" w:rsidTr="003C0CFF">
        <w:tc>
          <w:tcPr>
            <w:tcW w:w="13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тоннеля</w:t>
            </w:r>
          </w:p>
        </w:tc>
        <w:tc>
          <w:tcPr>
            <w:tcW w:w="6015" w:type="dxa"/>
            <w:gridSpan w:val="6"/>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77A422F" wp14:editId="5849E069">
                  <wp:extent cx="276225" cy="255270"/>
                  <wp:effectExtent l="0" t="0" r="9525" b="0"/>
                  <wp:docPr id="150" name="Рисунок 150"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 не менее, при РБТ, м</w:t>
            </w:r>
          </w:p>
        </w:tc>
      </w:tr>
      <w:tr w:rsidR="003C0CFF" w:rsidRPr="003C0CFF" w:rsidTr="003C0CFF">
        <w:tc>
          <w:tcPr>
            <w:tcW w:w="13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 60 включ.</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160</w:t>
            </w:r>
          </w:p>
        </w:tc>
      </w:tr>
      <w:tr w:rsidR="003C0CFF" w:rsidRPr="003C0CFF" w:rsidTr="003C0CFF">
        <w:tc>
          <w:tcPr>
            <w:tcW w:w="13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r>
      <w:tr w:rsidR="003C0CFF" w:rsidRPr="003C0CFF" w:rsidTr="003C0CFF">
        <w:tc>
          <w:tcPr>
            <w:tcW w:w="13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r>
      <w:tr w:rsidR="003C0CFF" w:rsidRPr="003C0CFF" w:rsidTr="003C0CFF">
        <w:tc>
          <w:tcPr>
            <w:tcW w:w="13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4,8</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5,4</w:t>
            </w:r>
          </w:p>
        </w:tc>
        <w:tc>
          <w:tcPr>
            <w:tcW w:w="9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r>
      <w:tr w:rsidR="003C0CFF" w:rsidRPr="003C0CFF" w:rsidTr="003C0CFF">
        <w:tc>
          <w:tcPr>
            <w:tcW w:w="7380" w:type="dxa"/>
            <w:gridSpan w:val="7"/>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промежуточных значений РБТ значения </w:t>
            </w:r>
            <w:r w:rsidRPr="003C0CFF">
              <w:rPr>
                <w:rFonts w:eastAsia="Times New Roman" w:cstheme="minorHAnsi"/>
                <w:noProof/>
                <w:color w:val="000000" w:themeColor="text1"/>
                <w:sz w:val="24"/>
                <w:szCs w:val="24"/>
                <w:lang w:eastAsia="ru-RU"/>
              </w:rPr>
              <w:drawing>
                <wp:inline distT="0" distB="0" distL="0" distR="0" wp14:anchorId="25330618" wp14:editId="317D9A6A">
                  <wp:extent cx="276225" cy="255270"/>
                  <wp:effectExtent l="0" t="0" r="9525" b="0"/>
                  <wp:docPr id="149" name="Рисунок 149"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определяют линейным интерполированием с округлением до одного знака после запятой.</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7.5.3.12. Для тоннелей класса 3 следует начиная с РБТ перед выездным порталом устраивать выездную зону, в которой яркость дорожного покрытия выездной зоны тоннеля </w:t>
      </w:r>
      <w:r w:rsidRPr="003C0CFF">
        <w:rPr>
          <w:rFonts w:eastAsia="Times New Roman" w:cstheme="minorHAnsi"/>
          <w:noProof/>
          <w:color w:val="000000" w:themeColor="text1"/>
          <w:sz w:val="24"/>
          <w:szCs w:val="24"/>
          <w:lang w:eastAsia="ru-RU"/>
        </w:rPr>
        <w:drawing>
          <wp:inline distT="0" distB="0" distL="0" distR="0" wp14:anchorId="3A99AA3A" wp14:editId="3424451E">
            <wp:extent cx="351155" cy="297815"/>
            <wp:effectExtent l="0" t="0" r="0" b="6985"/>
            <wp:docPr id="148" name="Рисунок 148" descr="https://mobile.olimpoks.ru/Prepare/Doc/1035/5/f6b6ea45-8c63-4ce0-8046-f504baab01c2/i/e8ff6d6c-e6c0-4d64-a18e-7346e5bc0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mobile.olimpoks.ru/Prepare/Doc/1035/5/f6b6ea45-8c63-4ce0-8046-f504baab01c2/i/e8ff6d6c-e6c0-4d64-a18e-7346e5bc0c34.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115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растет линейно, достигая за 20 м до выездного портала пятикратного значения средней яркости внутренней зоны тоннеля </w:t>
      </w:r>
      <w:r w:rsidRPr="003C0CFF">
        <w:rPr>
          <w:rFonts w:eastAsia="Times New Roman" w:cstheme="minorHAnsi"/>
          <w:noProof/>
          <w:color w:val="000000" w:themeColor="text1"/>
          <w:sz w:val="24"/>
          <w:szCs w:val="24"/>
          <w:lang w:eastAsia="ru-RU"/>
        </w:rPr>
        <w:drawing>
          <wp:inline distT="0" distB="0" distL="0" distR="0" wp14:anchorId="6E7C65C4" wp14:editId="3558F030">
            <wp:extent cx="276225" cy="255270"/>
            <wp:effectExtent l="0" t="0" r="9525" b="0"/>
            <wp:docPr id="147" name="Рисунок 147" descr="https://mobile.olimpoks.ru/Prepare/Doc/1035/5/f6b6ea45-8c63-4ce0-8046-f504baab01c2/i/5bfa196f-ab11-4cb4-a367-fff322c3f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mobile.olimpoks.ru/Prepare/Doc/1035/5/f6b6ea45-8c63-4ce0-8046-f504baab01c2/i/5bfa196f-ab11-4cb4-a367-fff322c3f7d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Для тоннелей классов 1 и 2 выездную зону допускается не устраивать.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7.5.3.13. Ночной режим освещения следует предусматривать независимо от длины тоннеля. При этом средняя яркость дорожного покрытия по всей длине тоннеля должна быть постоянна и не менее средней яркости участков улицы или дороги, примыкающих к въездному и выездному порталам. Средняя яркость дорожного покрытия тоннелей должна быть не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- 0,80 кд/м² - для тоннелей класса 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- 1,00 кд/м² - для тоннелей класса 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- 2,00 кд/м² - для тоннелей класса 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Допускается на участке перед въездным порталом длиной, равной РБТ, повышать среднюю яркость дорожного покрытия не более чем на 30 % по сравнению с соответствующей средней яркостью покрытия улицы или дороги, ведущей к тоннелю, не превышая при этом среднюю яркость дорожного покрытия в тоннеле.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наличии примыкающего к въездному порталу участка, перекрытого солнцезащитным экраном, ночной режим освещения этого участка должен быть аналогичен режиму, принятому для всего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7.5.3.14. Переключение освещения с ночного режима на дневной и обратно следует проводить при повышении или спаде естественной горизонтальной освещенности соответственно вблизи въездного портала до 100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7.5.3.15. Во всех яркостных зонах отношение средней яркости нижней части стен тоннеля до уровня 2 м над покрытием дороги к средней яркости дорожного покрытия ближайшей к стене полосы движения должно быть не менее 0,25 для тоннелей класса 1 и не менее 0,60 для классов 2 и 3.</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7.5.3.16. На участках с постоянной яркостью дорожного покрытия (первая половина пороговой зоны и целиком внутренняя в дневном режиме, а также весь тоннель в ночном режиме) должны быть обеспечены значения показателей общей </w:t>
      </w:r>
      <w:r w:rsidRPr="003C0CFF">
        <w:rPr>
          <w:rFonts w:eastAsia="Times New Roman" w:cstheme="minorHAnsi"/>
          <w:noProof/>
          <w:color w:val="000000" w:themeColor="text1"/>
          <w:sz w:val="24"/>
          <w:szCs w:val="24"/>
          <w:lang w:eastAsia="ru-RU"/>
        </w:rPr>
        <w:drawing>
          <wp:inline distT="0" distB="0" distL="0" distR="0" wp14:anchorId="30032F24" wp14:editId="0534396B">
            <wp:extent cx="223520" cy="191135"/>
            <wp:effectExtent l="0" t="0" r="5080" b="0"/>
            <wp:docPr id="146" name="Рисунок 146" descr="https://mobile.olimpoks.ru/Prepare/Doc/1035/5/f6b6ea45-8c63-4ce0-8046-f504baab01c2/i/a6d5df76-addc-49d1-8d28-84099ae7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mobile.olimpoks.ru/Prepare/Doc/1035/5/f6b6ea45-8c63-4ce0-8046-f504baab01c2/i/a6d5df76-addc-49d1-8d28-84099ae7217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продольной </w:t>
      </w:r>
      <w:r w:rsidRPr="003C0CFF">
        <w:rPr>
          <w:rFonts w:eastAsia="Times New Roman" w:cstheme="minorHAnsi"/>
          <w:noProof/>
          <w:color w:val="000000" w:themeColor="text1"/>
          <w:sz w:val="24"/>
          <w:szCs w:val="24"/>
          <w:lang w:eastAsia="ru-RU"/>
        </w:rPr>
        <w:drawing>
          <wp:inline distT="0" distB="0" distL="0" distR="0" wp14:anchorId="3F8B8055" wp14:editId="65C71B23">
            <wp:extent cx="372110" cy="372110"/>
            <wp:effectExtent l="0" t="0" r="8890" b="8890"/>
            <wp:docPr id="145" name="Рисунок 145"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равномерности яркости дорожного покрытия в соответствии с таблицей 7.19.</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7.19</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значения показателей равномерности яркости дорожного покрытия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тоннеля</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268FAE3" wp14:editId="306DA2E5">
                  <wp:extent cx="223520" cy="191135"/>
                  <wp:effectExtent l="0" t="0" r="5080" b="0"/>
                  <wp:docPr id="144" name="Рисунок 144" descr="https://mobile.olimpoks.ru/Prepare/Doc/1035/5/f6b6ea45-8c63-4ce0-8046-f504baab01c2/i/a6d5df76-addc-49d1-8d28-84099ae7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mobile.olimpoks.ru/Prepare/Doc/1035/5/f6b6ea45-8c63-4ce0-8046-f504baab01c2/i/a6d5df76-addc-49d1-8d28-84099ae7217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790EE927" wp14:editId="4C1385B0">
                  <wp:extent cx="372110" cy="372110"/>
                  <wp:effectExtent l="0" t="0" r="8890" b="8890"/>
                  <wp:docPr id="143" name="Рисунок 143" descr="https://mobile.olimpoks.ru/Prepare/Doc/1035/5/f6b6ea45-8c63-4ce0-8046-f504baab01c2/i/c8e5a61e-eb64-4dd3-8c2c-c5f8e505f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mobile.olimpoks.ru/Prepare/Doc/1035/5/f6b6ea45-8c63-4ce0-8046-f504baab01c2/i/c8e5a61e-eb64-4dd3-8c2c-c5f8e505f7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 *</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0,60</w:t>
            </w:r>
          </w:p>
        </w:tc>
      </w:tr>
      <w:tr w:rsidR="003C0CFF" w:rsidRPr="003C0CFF" w:rsidTr="003C0CFF">
        <w:tc>
          <w:tcPr>
            <w:tcW w:w="7380"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Нормируемое значение должно быть обеспечено для каждой полосы движения.</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тех же участков отношение минимальной яркости к средней на нижней части стены (до 2 м над дорожным покрытием) должно быть не менее 0,35.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7.5.3.17. Пороговое приращение яркости TI за счет слепящего действия светильников для пороговой и внутренней зон тоннеля в дневном режиме и всего тоннеля в ночном режиме не должно превышать 15 %.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7.5.3.18. Для предотвращения фликер-эффекта во внутренней зоне в дневном режиме и по всей длине тоннеля в ночном режиме при продолжительности проезда по таким участкам более 20 с с проектной скоростью шаг светильников в ряду должен лежать вне диапазонов значений, приведенных в таблице 7.20.</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7.20</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Интервалы шага светильников, при которых возникает фликер-эффект в тоннеле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5"/>
        <w:gridCol w:w="1050"/>
        <w:gridCol w:w="1275"/>
        <w:gridCol w:w="1140"/>
        <w:gridCol w:w="1470"/>
      </w:tblGrid>
      <w:tr w:rsidR="003C0CFF" w:rsidRPr="003C0CFF" w:rsidTr="003C0CFF">
        <w:tc>
          <w:tcPr>
            <w:tcW w:w="24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Проектная скорость движения, км/ч</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11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4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w:t>
            </w:r>
          </w:p>
        </w:tc>
      </w:tr>
      <w:tr w:rsidR="003C0CFF" w:rsidRPr="003C0CFF" w:rsidTr="003C0CFF">
        <w:tc>
          <w:tcPr>
            <w:tcW w:w="24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Диапазон шага светильников, м</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1,3 - 6,7</w:t>
            </w:r>
          </w:p>
        </w:tc>
        <w:tc>
          <w:tcPr>
            <w:tcW w:w="12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1,7 - 8,9</w:t>
            </w:r>
          </w:p>
        </w:tc>
        <w:tc>
          <w:tcPr>
            <w:tcW w:w="11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2,1 - 11</w:t>
            </w:r>
          </w:p>
        </w:tc>
        <w:tc>
          <w:tcPr>
            <w:tcW w:w="14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2,6 - 13</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7.5.3.19. При использовании светильников с натриевыми лампами расстояние между светильниками и желтыми сигнальными огнями (светофорами) должно быть не менее 1 м по горизонтали в плоскости, перпендикулярной направлению движения.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7.5.3.20. Для рабочего освещения транспортной зоны следует применять специальные тоннельные светильники со светораспределением, соответствующим выбранной системе освещения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пороговой и переходной зон целесообразно использовать систему встречного освещения, для внутренней и выездной зон, а также во всем тоннеле в ночном режиме - систему симметричного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7.5.3.21. Светильники наиболее целесообразно располагать на потолке над проезжей частью в один или несколько рядов в зависимости от ее ширины и нормируемой средней яркости дорожного покрытия и стен. Габариты светильников по высоте не должны выходить за установленные для данного тоннеля пределы. Для тоннелей с числом полос движения не более двух допускается боковое размещение светильников (в верхней части стен или в углах между стеной и потолком). При размещении на стенах высота установки светильников должна быть не менее 4 м относительно покрытия дороги.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7.5.3.22. Аварийное освещение тоннелей следует проектировать в соответствии с 7.7.1 - 7.7.7.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7.5.3.23. При проектировании рабочего и аварийного освещения притоннельных сооружений, служебно-технических и вспомогательных помещений тоннеля (диспетчерские, вентиляционные камеры и др.) следует руководствоваться общими требованиями к освещению производственных помещений.</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7.5.4. Освещение пешеходных пространств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7.5.4.1. Освещение пешеходных пространств следует проектировать исходя из нормы средней горизонтальной освещенности </w:t>
      </w:r>
      <w:r w:rsidRPr="003C0CFF">
        <w:rPr>
          <w:rFonts w:eastAsia="Times New Roman" w:cstheme="minorHAnsi"/>
          <w:noProof/>
          <w:color w:val="000000" w:themeColor="text1"/>
          <w:sz w:val="24"/>
          <w:szCs w:val="24"/>
          <w:lang w:eastAsia="ru-RU"/>
        </w:rPr>
        <w:drawing>
          <wp:inline distT="0" distB="0" distL="0" distR="0" wp14:anchorId="23FC88FB" wp14:editId="2A1FC912">
            <wp:extent cx="648335" cy="605790"/>
            <wp:effectExtent l="0" t="0" r="0" b="3810"/>
            <wp:docPr id="142" name="Рисунок 142"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равномерности ее распределения </w:t>
      </w:r>
      <w:r w:rsidRPr="003C0CFF">
        <w:rPr>
          <w:rFonts w:eastAsia="Times New Roman" w:cstheme="minorHAnsi"/>
          <w:noProof/>
          <w:color w:val="000000" w:themeColor="text1"/>
          <w:sz w:val="24"/>
          <w:szCs w:val="24"/>
          <w:lang w:eastAsia="ru-RU"/>
        </w:rPr>
        <w:drawing>
          <wp:inline distT="0" distB="0" distL="0" distR="0" wp14:anchorId="207180BF" wp14:editId="3D64E49F">
            <wp:extent cx="223520" cy="191135"/>
            <wp:effectExtent l="0" t="0" r="5080" b="0"/>
            <wp:docPr id="141" name="Рисунок 141" descr="https://mobile.olimpoks.ru/Prepare/Doc/1035/5/f6b6ea45-8c63-4ce0-8046-f504baab01c2/i/a6d5df76-addc-49d1-8d28-84099ae7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mobile.olimpoks.ru/Prepare/Doc/1035/5/f6b6ea45-8c63-4ce0-8046-f504baab01c2/i/a6d5df76-addc-49d1-8d28-84099ae7217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дорожном покрытии. Основные объекты пешеходных пространств классифицируются и нормируются в соответствии с таблицей 7.21.</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Классификация и нормируемые показатели для пешеходных пространств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45"/>
        <w:gridCol w:w="2789"/>
        <w:gridCol w:w="1845"/>
        <w:gridCol w:w="1845"/>
      </w:tblGrid>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Класс объекта по освещению</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Освещаемые объекты</w:t>
            </w:r>
          </w:p>
        </w:tc>
        <w:tc>
          <w:tcPr>
            <w:tcW w:w="369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Нормируемые показатели</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2A37B4E" wp14:editId="34BE4D7B">
                  <wp:extent cx="648335" cy="605790"/>
                  <wp:effectExtent l="0" t="0" r="0" b="3810"/>
                  <wp:docPr id="140" name="Рисунок 140"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менее</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3AF41FA" wp14:editId="7582C293">
                  <wp:extent cx="266065" cy="287020"/>
                  <wp:effectExtent l="0" t="0" r="635" b="0"/>
                  <wp:docPr id="139" name="Рисунок 139" descr="https://mobile.olimpoks.ru/Prepare/Doc/1035/5/f6b6ea45-8c63-4ce0-8046-f504baab01c2/i/8da9e340-4d8d-4a96-a04b-62e7d03f9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mobile.olimpoks.ru/Prepare/Doc/1035/5/f6b6ea45-8c63-4ce0-8046-f504baab01c2/i/8da9e340-4d8d-4a96-a04b-62e7d03f9405.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П1</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Площадки перед входами культурно-массовых, спортивных, развлекательных и торговых объектов</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0,30</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П2</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Главные пешеходные улицы исторической части города и основных общественных центров административных округов, непроезжие и предзаводские площади, посадочные площадки общественного транспорта, детские площадки и места отдыха во дворах</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0,30</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П3</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Пешеходные улицы; главные и вспомогательные входы парков, санаториев, выставок и стадионов</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0,20</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П4</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Тротуары, отделенные от проезжей части дорог и улиц; основные проезды микрорайонов, подъезды, подходы и центральные аллеи детских, учебных и лечебно-оздоровительных учреждений</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0,20</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П5</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Второстепенные проезды, дворы и хозяйственные площадки на территориях микрорайонов, боковые аллеи и вспомогательные входы общегородских парков и центральные аллеи парков административных округов</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П6</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Боковые аллеи и вспомогательные входы парков административных округов</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7.5.4.2. Для пешеходных улиц исторической части города среднее значение полуцилиндрической освещенности должно быть не менее 6,0 лк, а минимальное - 2,0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7.5.4.3. Средняя освещенность </w:t>
      </w:r>
      <w:r w:rsidRPr="003C0CFF">
        <w:rPr>
          <w:rFonts w:eastAsia="Times New Roman" w:cstheme="minorHAnsi"/>
          <w:noProof/>
          <w:color w:val="000000" w:themeColor="text1"/>
          <w:sz w:val="24"/>
          <w:szCs w:val="24"/>
          <w:lang w:eastAsia="ru-RU"/>
        </w:rPr>
        <w:drawing>
          <wp:inline distT="0" distB="0" distL="0" distR="0" wp14:anchorId="346F686E" wp14:editId="31061483">
            <wp:extent cx="648335" cy="605790"/>
            <wp:effectExtent l="0" t="0" r="0" b="3810"/>
            <wp:docPr id="138" name="Рисунок 138"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покрытии тротуара, примыкающего к проезжей части улицы, дороги или площади, должна быть не менее половины средней освещенности на покрытии ближайшей к тротуару полосы движения.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Равномерность освещенности на покрытии тротуара </w:t>
      </w:r>
      <w:r w:rsidRPr="003C0CFF">
        <w:rPr>
          <w:rFonts w:eastAsia="Times New Roman" w:cstheme="minorHAnsi"/>
          <w:noProof/>
          <w:color w:val="000000" w:themeColor="text1"/>
          <w:sz w:val="24"/>
          <w:szCs w:val="24"/>
          <w:lang w:eastAsia="ru-RU"/>
        </w:rPr>
        <w:drawing>
          <wp:inline distT="0" distB="0" distL="0" distR="0" wp14:anchorId="514DA32E" wp14:editId="2A7A0164">
            <wp:extent cx="223520" cy="191135"/>
            <wp:effectExtent l="0" t="0" r="5080" b="0"/>
            <wp:docPr id="137" name="Рисунок 137" descr="https://mobile.olimpoks.ru/Prepare/Doc/1035/5/f6b6ea45-8c63-4ce0-8046-f504baab01c2/i/a6d5df76-addc-49d1-8d28-84099ae7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mobile.olimpoks.ru/Prepare/Doc/1035/5/f6b6ea45-8c63-4ce0-8046-f504baab01c2/i/a6d5df76-addc-49d1-8d28-84099ae7217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должна быть не менее 0,30.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7.5.4.4. Слепящее действие светильников для освещения пешеходных улиц, парковых зон, скверов, бульваров и т. д. определяет отношение </w:t>
      </w:r>
      <w:r w:rsidRPr="003C0CFF">
        <w:rPr>
          <w:rFonts w:eastAsia="Times New Roman" w:cstheme="minorHAnsi"/>
          <w:noProof/>
          <w:color w:val="000000" w:themeColor="text1"/>
          <w:sz w:val="24"/>
          <w:szCs w:val="24"/>
          <w:lang w:eastAsia="ru-RU"/>
        </w:rPr>
        <w:drawing>
          <wp:inline distT="0" distB="0" distL="0" distR="0" wp14:anchorId="25941F77" wp14:editId="3E87CC4E">
            <wp:extent cx="233680" cy="223520"/>
            <wp:effectExtent l="0" t="0" r="0" b="5080"/>
            <wp:docPr id="136" name="Рисунок 136" descr="https://mobile.olimpoks.ru/Prepare/Doc/1035/5/f6b6ea45-8c63-4ce0-8046-f504baab01c2/i/6fb17c80-ad83-48ce-bdfe-ee7f5338e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mobile.olimpoks.ru/Prepare/Doc/1035/5/f6b6ea45-8c63-4ce0-8046-f504baab01c2/i/6fb17c80-ad83-48ce-bdfe-ee7f5338e0ec.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7AB5AF63" wp14:editId="27166E1D">
            <wp:extent cx="372110" cy="287020"/>
            <wp:effectExtent l="0" t="0" r="8890" b="0"/>
            <wp:docPr id="135" name="Рисунок 135" descr="https://mobile.olimpoks.ru/Prepare/Doc/1035/5/f6b6ea45-8c63-4ce0-8046-f504baab01c2/i/0367ba8d-85cc-459b-bcf1-11e496831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mobile.olimpoks.ru/Prepare/Doc/1035/5/f6b6ea45-8c63-4ce0-8046-f504baab01c2/i/0367ba8d-85cc-459b-bcf1-11e4968319d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где </w:t>
      </w:r>
      <w:r w:rsidRPr="003C0CFF">
        <w:rPr>
          <w:rFonts w:eastAsia="Times New Roman" w:cstheme="minorHAnsi"/>
          <w:noProof/>
          <w:color w:val="000000" w:themeColor="text1"/>
          <w:sz w:val="24"/>
          <w:szCs w:val="24"/>
          <w:lang w:eastAsia="ru-RU"/>
        </w:rPr>
        <w:drawing>
          <wp:inline distT="0" distB="0" distL="0" distR="0" wp14:anchorId="228B1FD6" wp14:editId="4E510B4A">
            <wp:extent cx="233680" cy="223520"/>
            <wp:effectExtent l="0" t="0" r="0" b="5080"/>
            <wp:docPr id="134" name="Рисунок 134" descr="https://mobile.olimpoks.ru/Prepare/Doc/1035/5/f6b6ea45-8c63-4ce0-8046-f504baab01c2/i/6fb17c80-ad83-48ce-bdfe-ee7f5338e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mobile.olimpoks.ru/Prepare/Doc/1035/5/f6b6ea45-8c63-4ce0-8046-f504baab01c2/i/6fb17c80-ad83-48ce-bdfe-ee7f5338e0ec.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сила света светильника под углом 85° от вертикали, максимальная по всем азимутальным углам, кд; A - площадь проекции светящей поверхности светильника на плоскость, перпендикулярную направлению силы света </w:t>
      </w:r>
      <w:r w:rsidRPr="003C0CFF">
        <w:rPr>
          <w:rFonts w:eastAsia="Times New Roman" w:cstheme="minorHAnsi"/>
          <w:noProof/>
          <w:color w:val="000000" w:themeColor="text1"/>
          <w:sz w:val="24"/>
          <w:szCs w:val="24"/>
          <w:lang w:eastAsia="ru-RU"/>
        </w:rPr>
        <w:drawing>
          <wp:inline distT="0" distB="0" distL="0" distR="0" wp14:anchorId="162AF8B7" wp14:editId="09944E5D">
            <wp:extent cx="233680" cy="223520"/>
            <wp:effectExtent l="0" t="0" r="0" b="5080"/>
            <wp:docPr id="133" name="Рисунок 133" descr="https://mobile.olimpoks.ru/Prepare/Doc/1035/5/f6b6ea45-8c63-4ce0-8046-f504baab01c2/i/6fb17c80-ad83-48ce-bdfe-ee7f5338e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mobile.olimpoks.ru/Prepare/Doc/1035/5/f6b6ea45-8c63-4ce0-8046-f504baab01c2/i/6fb17c80-ad83-48ce-bdfe-ee7f5338e0ec.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Значение </w:t>
      </w:r>
      <w:r w:rsidRPr="003C0CFF">
        <w:rPr>
          <w:rFonts w:eastAsia="Times New Roman" w:cstheme="minorHAnsi"/>
          <w:noProof/>
          <w:color w:val="000000" w:themeColor="text1"/>
          <w:sz w:val="24"/>
          <w:szCs w:val="24"/>
          <w:lang w:eastAsia="ru-RU"/>
        </w:rPr>
        <w:drawing>
          <wp:inline distT="0" distB="0" distL="0" distR="0" wp14:anchorId="198EFD03" wp14:editId="1D8D0A8C">
            <wp:extent cx="233680" cy="223520"/>
            <wp:effectExtent l="0" t="0" r="0" b="5080"/>
            <wp:docPr id="132" name="Рисунок 132" descr="https://mobile.olimpoks.ru/Prepare/Doc/1035/5/f6b6ea45-8c63-4ce0-8046-f504baab01c2/i/6fb17c80-ad83-48ce-bdfe-ee7f5338e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mobile.olimpoks.ru/Prepare/Doc/1035/5/f6b6ea45-8c63-4ce0-8046-f504baab01c2/i/6fb17c80-ad83-48ce-bdfe-ee7f5338e0ec.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46DA6803" wp14:editId="43D51C0C">
            <wp:extent cx="372110" cy="287020"/>
            <wp:effectExtent l="0" t="0" r="8890" b="0"/>
            <wp:docPr id="131" name="Рисунок 131" descr="https://mobile.olimpoks.ru/Prepare/Doc/1035/5/f6b6ea45-8c63-4ce0-8046-f504baab01c2/i/0367ba8d-85cc-459b-bcf1-11e496831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mobile.olimpoks.ru/Prepare/Doc/1035/5/f6b6ea45-8c63-4ce0-8046-f504baab01c2/i/0367ba8d-85cc-459b-bcf1-11e4968319d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 должно быть не более: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- 4000 - при высоте установки светильника до 4,5 м включительно;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- 5500 при высоте установки светильника св. 4,5 до 6 м включительно;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- 7000 при высоте установки светильника св. 6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7.5.4.5. Средняя освещенность </w:t>
      </w:r>
      <w:r w:rsidRPr="003C0CFF">
        <w:rPr>
          <w:rFonts w:eastAsia="Times New Roman" w:cstheme="minorHAnsi"/>
          <w:noProof/>
          <w:color w:val="000000" w:themeColor="text1"/>
          <w:sz w:val="24"/>
          <w:szCs w:val="24"/>
          <w:lang w:eastAsia="ru-RU"/>
        </w:rPr>
        <w:drawing>
          <wp:inline distT="0" distB="0" distL="0" distR="0" wp14:anchorId="61A1D3D8" wp14:editId="1848FD5B">
            <wp:extent cx="648335" cy="605790"/>
            <wp:effectExtent l="0" t="0" r="0" b="3810"/>
            <wp:docPr id="130" name="Рисунок 130"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дорожном покрытии площадок, проездов, проходов между рядами павильонов, палаток, контейнеров и т. п. на территории открытых рынков и торговых ярмарок должна быть не менее 10 лк при минимальной освещенности 2,0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Допускается снижение средней освещенности </w:t>
      </w:r>
      <w:r w:rsidRPr="003C0CFF">
        <w:rPr>
          <w:rFonts w:eastAsia="Times New Roman" w:cstheme="minorHAnsi"/>
          <w:noProof/>
          <w:color w:val="000000" w:themeColor="text1"/>
          <w:sz w:val="24"/>
          <w:szCs w:val="24"/>
          <w:lang w:eastAsia="ru-RU"/>
        </w:rPr>
        <w:drawing>
          <wp:inline distT="0" distB="0" distL="0" distR="0" wp14:anchorId="432C5783" wp14:editId="1726130F">
            <wp:extent cx="648335" cy="605790"/>
            <wp:effectExtent l="0" t="0" r="0" b="3810"/>
            <wp:docPr id="129" name="Рисунок 129"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до 4,0 лк после закрытия рынка или торговой ярмарки.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7.5.4.6. Отношение вертикальной освещенности на высоте 1,5 м в плоскости, перпендикулярной оси проезда между рядами павильонов, к горизонтальной освещенности на уровне покрытия проезда должно быть не менее 1:2.</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7.5.5. Освещение территорий жилых районов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7.5.5.1. Внутри жилых кварталов нормы освещения улиц местного значения должны соответствовать классам по освещению В1 и В2 таблицы 7.10, а проездов и проходов - классам П4 и П5 таблицы 7.21.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Слепящее действие светильников для проездов и пешеходных зон внутри жилых кварталов регламентируется согласно 7.5.1.9 и 7.5.4.4.</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7.5.5.2. Вертикальная освещенность на окнах жилых зданий </w:t>
      </w:r>
      <w:r w:rsidRPr="003C0CFF">
        <w:rPr>
          <w:rFonts w:eastAsia="Times New Roman" w:cstheme="minorHAnsi"/>
          <w:noProof/>
          <w:color w:val="000000" w:themeColor="text1"/>
          <w:sz w:val="24"/>
          <w:szCs w:val="24"/>
          <w:lang w:eastAsia="ru-RU"/>
        </w:rPr>
        <w:drawing>
          <wp:inline distT="0" distB="0" distL="0" distR="0" wp14:anchorId="2AB5F174" wp14:editId="20FCC22A">
            <wp:extent cx="287020" cy="318770"/>
            <wp:effectExtent l="0" t="0" r="0" b="5080"/>
            <wp:docPr id="128" name="Рисунок 128" descr="https://mobile.olimpoks.ru/Prepare/Doc/1035/5/f6b6ea45-8c63-4ce0-8046-f504baab01c2/i/42a603ef-aa29-4295-8677-c9106dbff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mobile.olimpoks.ru/Prepare/Doc/1035/5/f6b6ea45-8c63-4ce0-8046-f504baab01c2/i/42a603ef-aa29-4295-8677-c9106dbff95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020" cy="3187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 совместного действия всех видов наружного освещения, включая утилитарное, архитектурное, рекламное и витринное, в зависимости от норм средней яркости </w:t>
      </w:r>
      <w:r w:rsidRPr="003C0CFF">
        <w:rPr>
          <w:rFonts w:eastAsia="Times New Roman" w:cstheme="minorHAnsi"/>
          <w:noProof/>
          <w:color w:val="000000" w:themeColor="text1"/>
          <w:sz w:val="24"/>
          <w:szCs w:val="24"/>
          <w:lang w:eastAsia="ru-RU"/>
        </w:rPr>
        <w:drawing>
          <wp:inline distT="0" distB="0" distL="0" distR="0" wp14:anchorId="1BB182A0" wp14:editId="03ED04E7">
            <wp:extent cx="871855" cy="914400"/>
            <wp:effectExtent l="0" t="0" r="4445" b="0"/>
            <wp:docPr id="127" name="Рисунок 127"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или средней освещенности </w:t>
      </w:r>
      <w:r w:rsidRPr="003C0CFF">
        <w:rPr>
          <w:rFonts w:eastAsia="Times New Roman" w:cstheme="minorHAnsi"/>
          <w:noProof/>
          <w:color w:val="000000" w:themeColor="text1"/>
          <w:sz w:val="24"/>
          <w:szCs w:val="24"/>
          <w:lang w:eastAsia="ru-RU"/>
        </w:rPr>
        <w:drawing>
          <wp:inline distT="0" distB="0" distL="0" distR="0" wp14:anchorId="36E1BE0D" wp14:editId="0D44D20A">
            <wp:extent cx="648335" cy="605790"/>
            <wp:effectExtent l="0" t="0" r="0" b="3810"/>
            <wp:docPr id="126" name="Рисунок 126"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проезжей части прилегающих улиц не должна превышать значений, приведенных в таблице 7.22.</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Нормируемые значения вертикальной освещенности на окнах жилых зданий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2528"/>
        <w:gridCol w:w="2460"/>
      </w:tblGrid>
      <w:tr w:rsidR="003C0CFF" w:rsidRPr="003C0CFF" w:rsidTr="003C0CFF">
        <w:tc>
          <w:tcPr>
            <w:tcW w:w="49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Нормируемый показатель освещения проезжей части прилегающей улицы</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Вертикальная освещенность на окнах жилых зданий </w:t>
            </w:r>
            <w:r w:rsidRPr="003C0CFF">
              <w:rPr>
                <w:rFonts w:eastAsia="Times New Roman" w:cstheme="minorHAnsi"/>
                <w:noProof/>
                <w:color w:val="000000" w:themeColor="text1"/>
                <w:sz w:val="24"/>
                <w:szCs w:val="24"/>
                <w:lang w:eastAsia="ru-RU"/>
              </w:rPr>
              <w:drawing>
                <wp:inline distT="0" distB="0" distL="0" distR="0" wp14:anchorId="243A90E4" wp14:editId="75D54AB3">
                  <wp:extent cx="287020" cy="318770"/>
                  <wp:effectExtent l="0" t="0" r="0" b="5080"/>
                  <wp:docPr id="125" name="Рисунок 125" descr="https://mobile.olimpoks.ru/Prepare/Doc/1035/5/f6b6ea45-8c63-4ce0-8046-f504baab01c2/i/42a603ef-aa29-4295-8677-c9106dbff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mobile.olimpoks.ru/Prepare/Doc/1035/5/f6b6ea45-8c63-4ce0-8046-f504baab01c2/i/42a603ef-aa29-4295-8677-c9106dbff95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020" cy="3187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 не более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яркость </w:t>
            </w:r>
            <w:r w:rsidRPr="003C0CFF">
              <w:rPr>
                <w:rFonts w:eastAsia="Times New Roman" w:cstheme="minorHAnsi"/>
                <w:noProof/>
                <w:color w:val="000000" w:themeColor="text1"/>
                <w:sz w:val="24"/>
                <w:szCs w:val="24"/>
                <w:lang w:eastAsia="ru-RU"/>
              </w:rPr>
              <w:drawing>
                <wp:inline distT="0" distB="0" distL="0" distR="0" wp14:anchorId="129FA6FF" wp14:editId="11D642C1">
                  <wp:extent cx="871855" cy="914400"/>
                  <wp:effectExtent l="0" t="0" r="4445" b="0"/>
                  <wp:docPr id="124" name="Рисунок 124"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w:t>
            </w:r>
            <w:r w:rsidRPr="003C0CFF">
              <w:rPr>
                <w:rFonts w:eastAsia="Times New Roman" w:cstheme="minorHAnsi"/>
                <w:noProof/>
                <w:color w:val="000000" w:themeColor="text1"/>
                <w:sz w:val="24"/>
                <w:szCs w:val="24"/>
                <w:lang w:eastAsia="ru-RU"/>
              </w:rPr>
              <w:drawing>
                <wp:inline distT="0" distB="0" distL="0" distR="0" wp14:anchorId="63CBAFD7" wp14:editId="1825C11F">
                  <wp:extent cx="648335" cy="605790"/>
                  <wp:effectExtent l="0" t="0" r="0" b="3810"/>
                  <wp:docPr id="123" name="Рисунок 123"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лк</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0,6 до 1,0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10 до 15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1,2 до 2,0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 до 30 включ.</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7.5.5.3. На пешеходных улицах вне общественного центра, на внутридворовых территориях, а также на любых улицах, прилегающих к спальным корпусам больниц и лечебно-курортных учреждений, вертикальная освещенность на окнах квартир жилых зданий и палат спальных корпусов не должна превышать 5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7.5.5.4. В целях ограничения засветки окон следует применять светильники с ограниченными значениями силы света в направлении окон или светильники с экранирующими решетками.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7.5.5.5. В проектах наружного освещения необходимо предусматривать освещение подъездов к противопожарным водоисточникам, если они расположены на неосвещенных частях проездов. Средняя горизонтальная освещенность этих подъездов должна быть 2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7.5.5.6. Над входом в здание или рядом с ним устанавливают светильники, обеспечивающие среднюю освещенность на дорожном покрытии </w:t>
      </w:r>
      <w:r w:rsidRPr="003C0CFF">
        <w:rPr>
          <w:rFonts w:eastAsia="Times New Roman" w:cstheme="minorHAnsi"/>
          <w:noProof/>
          <w:color w:val="000000" w:themeColor="text1"/>
          <w:sz w:val="24"/>
          <w:szCs w:val="24"/>
          <w:lang w:eastAsia="ru-RU"/>
        </w:rPr>
        <w:drawing>
          <wp:inline distT="0" distB="0" distL="0" distR="0" wp14:anchorId="7B6E78F5" wp14:editId="58233FC5">
            <wp:extent cx="648335" cy="605790"/>
            <wp:effectExtent l="0" t="0" r="0" b="3810"/>
            <wp:docPr id="122" name="Рисунок 122" descr="https://mobile.olimpoks.ru/Prepare/Doc/1035/5/f6b6ea45-8c63-4ce0-8046-f504baab01c2/i/f01e6322-59e3-47a9-b167-804e247a2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mobile.olimpoks.ru/Prepare/Doc/1035/5/f6b6ea45-8c63-4ce0-8046-f504baab01c2/i/f01e6322-59e3-47a9-b167-804e247a28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- 6,0 лк - на площадке основного входа;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- 4,0 лк - на площадке запасного или технического входа, а также на пешеходной дорожке в пределах 4 м от основного входа в здание.</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7.5.6. Наружное архитектурное освещение зданий и сооружений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7.5.6.1. Наружное архитектурное освещение должно обеспечивать в вечернее время хорошую видимость и выразительность наиболее важных объектов и повышать комфортность световой среды города. Установки архитектурного освещения не должны производить слепящее действие на водителей транспорта и пешеходов.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7.5.6.2.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городе следует принимать по таблице 7.23.</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7.23</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Нормы наружного архитектурного освещения городских объектов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29"/>
        <w:gridCol w:w="1758"/>
        <w:gridCol w:w="2319"/>
        <w:gridCol w:w="1267"/>
        <w:gridCol w:w="1634"/>
        <w:gridCol w:w="2159"/>
      </w:tblGrid>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Категория городского пространства</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Место расположения объекта освещения</w:t>
            </w:r>
          </w:p>
        </w:tc>
        <w:tc>
          <w:tcPr>
            <w:tcW w:w="17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Освещаемый объект</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Заливающее освещение, средняя яркость фасада </w:t>
            </w:r>
            <w:r w:rsidRPr="003C0CFF">
              <w:rPr>
                <w:rFonts w:eastAsia="Times New Roman" w:cstheme="minorHAnsi"/>
                <w:noProof/>
                <w:color w:val="000000" w:themeColor="text1"/>
                <w:sz w:val="24"/>
                <w:szCs w:val="24"/>
                <w:lang w:eastAsia="ru-RU"/>
              </w:rPr>
              <w:drawing>
                <wp:inline distT="0" distB="0" distL="0" distR="0" wp14:anchorId="5B5250A4" wp14:editId="7FEC88E1">
                  <wp:extent cx="244475" cy="297815"/>
                  <wp:effectExtent l="0" t="0" r="3175" b="6985"/>
                  <wp:docPr id="121" name="Рисунок 121" descr="https://mobile.olimpoks.ru/Prepare/Doc/1035/5/f6b6ea45-8c63-4ce0-8046-f504baab01c2/i/ba379438-ca1e-4664-8b2a-04eb0730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mobile.olimpoks.ru/Prepare/Doc/1035/5/f6b6ea45-8c63-4ce0-8046-f504baab01c2/i/ba379438-ca1e-4664-8b2a-04eb0730836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447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Заливающее и акцентирующее освещение, средняя яркость акцентируемого светом элемента </w:t>
            </w:r>
            <w:r w:rsidRPr="003C0CFF">
              <w:rPr>
                <w:rFonts w:eastAsia="Times New Roman" w:cstheme="minorHAnsi"/>
                <w:noProof/>
                <w:color w:val="000000" w:themeColor="text1"/>
                <w:sz w:val="24"/>
                <w:szCs w:val="24"/>
                <w:lang w:eastAsia="ru-RU"/>
              </w:rPr>
              <w:drawing>
                <wp:inline distT="0" distB="0" distL="0" distR="0" wp14:anchorId="304C0FC2" wp14:editId="71054E3B">
                  <wp:extent cx="223520" cy="297815"/>
                  <wp:effectExtent l="0" t="0" r="5080" b="6985"/>
                  <wp:docPr id="120" name="Рисунок 120" descr="https://mobile.olimpoks.ru/Prepare/Doc/1035/5/f6b6ea45-8c63-4ce0-8046-f504baab01c2/i/b8ba3373-a33d-46cd-b856-e9d1ff4b70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mobile.olimpoks.ru/Prepare/Doc/1035/5/f6b6ea45-8c63-4ce0-8046-f504baab01c2/i/b8ba3373-a33d-46cd-b856-e9d1ff4b70d7.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3520"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Локальное освещение, средняя яркость </w:t>
            </w:r>
            <w:r w:rsidRPr="003C0CFF">
              <w:rPr>
                <w:rFonts w:eastAsia="Times New Roman" w:cstheme="minorHAnsi"/>
                <w:noProof/>
                <w:color w:val="000000" w:themeColor="text1"/>
                <w:sz w:val="24"/>
                <w:szCs w:val="24"/>
                <w:lang w:eastAsia="ru-RU"/>
              </w:rPr>
              <w:drawing>
                <wp:inline distT="0" distB="0" distL="0" distR="0" wp14:anchorId="73971595" wp14:editId="0623E18E">
                  <wp:extent cx="871855" cy="914400"/>
                  <wp:effectExtent l="0" t="0" r="4445" b="0"/>
                  <wp:docPr id="119" name="Рисунок 119" descr="https://mobile.olimpoks.ru/Prepare/Doc/1035/5/f6b6ea45-8c63-4ce0-8046-f504baab01c2/i/9e5891f6-8f1d-4799-970d-a1ba3ed47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mobile.olimpoks.ru/Prepare/Doc/1035/5/f6b6ea45-8c63-4ce0-8046-f504baab01c2/i/9e5891f6-8f1d-4799-970d-a1ba3ed4760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кд/м²</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Площади столичного центра, зоны общегородских доминант</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Памятники архитектуры национального значения, крупные общественные здания, монументы и доминантные объекты</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Магистральные улицы и площади общегородского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Памятники архитектуры, истории и культуры, здания, сооружения и монументы городского значения</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Парки, сады, бульвары, скверы и пешеходные улицы общегородского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Здания, сооружения, памятники, находящиеся в границах территории достопримечательного места (объекта культурного наследия) [2], монументы и уникальные элементы ландшафта</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Площади окружных и районных общественных центров</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Памятники и монументы, здания и сооружения окружного и районного значения</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Магистральные улицы и площади окружного и районного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Парки, сады, скверы, бульвары и пешеходные улицы окружного и районного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 и характерные элементы ландшафта</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Улицы и площади, пешеходные дороги местного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Памятники и монументы, здания и сооружения, находящиеся в границах территории достопримечательного места (объекта культурного наследия) [2]</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Сады, скверы, бульвары местного значения</w:t>
            </w:r>
          </w:p>
        </w:tc>
        <w:tc>
          <w:tcPr>
            <w:tcW w:w="17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 и характерные элементы ландшафта</w:t>
            </w:r>
          </w:p>
        </w:tc>
        <w:tc>
          <w:tcPr>
            <w:tcW w:w="10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12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r>
      <w:tr w:rsidR="003C0CFF" w:rsidRPr="003C0CFF" w:rsidTr="003C0CFF">
        <w:tc>
          <w:tcPr>
            <w:tcW w:w="7380" w:type="dxa"/>
            <w:gridSpan w:val="6"/>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Яркость доминантных объектов, обозреваемых с расстояния более 300 м, допускается увеличить до 50 %.</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При расположении объекта освещения в окружении неосвещенного пространства норму яркости, приведенную в настоящей таблице, допускается уменьшать до 50 %.</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7.5.6.3. При проектировании установок архитектурного освещения расчетные коэффициенты отражения поверхностей фасадов освещаемых объектов принимаются по данным натурных измерений или по таблице 7.24.</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7.24</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Расчетные характеристики отделочных материалов фасадов зданий, сооружений и монументов, применяемые при проектировании наружного архитектурного освещения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7.24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15"/>
        <w:gridCol w:w="2565"/>
      </w:tblGrid>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Материалы поверхности или цвет фасада</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отражения материала поверхности </w:t>
            </w:r>
            <w:r w:rsidRPr="003C0CFF">
              <w:rPr>
                <w:rFonts w:eastAsia="Times New Roman" w:cstheme="minorHAnsi"/>
                <w:noProof/>
                <w:color w:val="000000" w:themeColor="text1"/>
                <w:sz w:val="24"/>
                <w:szCs w:val="24"/>
                <w:lang w:eastAsia="ru-RU"/>
              </w:rPr>
              <w:drawing>
                <wp:inline distT="0" distB="0" distL="0" distR="0" wp14:anchorId="2990B1C5" wp14:editId="2F009A59">
                  <wp:extent cx="425450" cy="351155"/>
                  <wp:effectExtent l="0" t="0" r="0" b="0"/>
                  <wp:docPr id="118" name="Рисунок 118" descr="https://mobile.olimpoks.ru/Prepare/Doc/1035/5/f6b6ea45-8c63-4ce0-8046-f504baab01c2/i/7398fbb6-6747-4c2e-a09e-dd7d0aec6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mobile.olimpoks.ru/Prepare/Doc/1035/5/f6b6ea45-8c63-4ce0-8046-f504baab01c2/i/7398fbb6-6747-4c2e-a09e-dd7d0aec6c7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450" cy="351155"/>
                          </a:xfrm>
                          <a:prstGeom prst="rect">
                            <a:avLst/>
                          </a:prstGeom>
                          <a:noFill/>
                          <a:ln>
                            <a:noFill/>
                          </a:ln>
                        </pic:spPr>
                      </pic:pic>
                    </a:graphicData>
                  </a:graphic>
                </wp:inline>
              </w:drawing>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Белый: белые атмосферостойкие фасадные краски, белый керамогранит и т. п.</w:t>
            </w:r>
          </w:p>
        </w:tc>
        <w:tc>
          <w:tcPr>
            <w:tcW w:w="10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0,8 - 0,87</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Белый мрамор</w:t>
            </w:r>
          </w:p>
        </w:tc>
        <w:tc>
          <w:tcPr>
            <w:tcW w:w="102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0,67 - 0,7</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Очень светлый: очень светлые фасадные краски, белый силикатный кирпич, светло-серый бетон, мрамор, белый камень (известняк, доломит, песчаник), бетон и декоративные штукатурки на белом цементе и светлых заполнителях, очень светлый керамогранит, керамическая плитка, ракушечник и т. п.</w:t>
            </w:r>
          </w:p>
        </w:tc>
        <w:tc>
          <w:tcPr>
            <w:tcW w:w="102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0,62 - 0,65</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Светлый: светлые фасадные краски, мрамор, камень (туф, песчаник, известняк), бетон, светлые цветные штукатурки, керамический кирпич, светлый керамогранит, светлые породы мрамора, блоки, плитка, дерево (доски) и т. п.</w:t>
            </w:r>
          </w:p>
        </w:tc>
        <w:tc>
          <w:tcPr>
            <w:tcW w:w="102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0,5 - 0,6</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Средне-светлый: серый офактуренный бетон, цветные фасадные краски, светлое дерево, серый силикатный кирпич, цветной керамогранит и т. п.</w:t>
            </w:r>
          </w:p>
        </w:tc>
        <w:tc>
          <w:tcPr>
            <w:tcW w:w="10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0,4 - 0,45</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Темный: темные фасадные краски, мрамор, гранит, глиняный кирпич, силикатный кирпич, темный керамогранит, декоративные штукатурки и керамические плитки, потемневшее дерево, медь и т. п.</w:t>
            </w:r>
          </w:p>
        </w:tc>
        <w:tc>
          <w:tcPr>
            <w:tcW w:w="102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0,28 - 0,33</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Очень темный: очень темные краски, мрамор, гранит, керамогранит и т. п.</w:t>
            </w:r>
          </w:p>
        </w:tc>
        <w:tc>
          <w:tcPr>
            <w:tcW w:w="10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0,15 - 0,2</w:t>
            </w:r>
          </w:p>
        </w:tc>
      </w:tr>
      <w:tr w:rsidR="003C0CFF" w:rsidRPr="003C0CFF" w:rsidTr="003C0CFF">
        <w:tc>
          <w:tcPr>
            <w:tcW w:w="271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Черный: черные краски, камень (мрамор, базальт, гранит), чугун, платинированная бронза, декоративные штукатурки и т. п.</w:t>
            </w:r>
          </w:p>
        </w:tc>
        <w:tc>
          <w:tcPr>
            <w:tcW w:w="102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0,12 - 0,15</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точные значения коэффициентов отражения света определяют измерениями.</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7.5.6.4. При равномерном заливающем освещении фасада отношение максимальной освещенности к минимальной должно быть не более 3:1, а на рельефных и многоцветных фасадах - до 5:1. При этом максимальная освещенность должна создаваться на основных композиционно-пластических элементах.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7.5.6.5. При неравномерном заливающем освещении фасада соотношение максимальной и минимальной освещенности в пределах освещаемой зоны принимается не менее 10:1 и не более 30:1, при этом максимальная освещенность создается на акцентируемом светом элементе.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7.5.6.6. При проектировании световых архитектурных ансамблей по таблице 7.23 выбирается яркость главного фасада доминирующего объекта. Средние яркости освещаемых фасадов соподчиненных объектов единого ансамбля должны быть снижены не менее чем на две ступени по шкале яркости, приведенной в 4.1.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7.5.6.7. Объемные монументы, памятники, малые архитектурные формы, имеющие многосторонний обзор, следует освещать с двух-трех сторон с четко выраженным основным направлением светового потока, определяющим расчетную плоскость, которая композиционно должна быть связана с главным направлением восприятия объекта.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7.5.6.8. В установках архитектурного освещения следует использовать светильники с разрядными источниками света и светодиодами. При локальной подсветке допустимо использование источников хроматического излучения.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7.5.6.9. Для освещения объектов, имеющих "холодные" цветовые оттенки поверхностей, и зеленых насаждений следует применять источники света с цветовой температурой выше 4000 К. Для освещения объектов, окрашенных в "теплые" цвета, применяются источники света с цветовой температурой до 3500 К. При освещении полихромных объектов, в особенности декоративно-изобразительных элементов на фасадах (мозаичные и живописные панно и фризы, изразцы, цветные рельефы и скульптуры, сграффито и т. п.), следует применять источники белого света с общим индексом цветопередачи </w:t>
      </w:r>
      <w:r w:rsidRPr="003C0CFF">
        <w:rPr>
          <w:rFonts w:eastAsia="Times New Roman" w:cstheme="minorHAnsi"/>
          <w:noProof/>
          <w:color w:val="000000" w:themeColor="text1"/>
          <w:sz w:val="24"/>
          <w:szCs w:val="24"/>
          <w:lang w:eastAsia="ru-RU"/>
        </w:rPr>
        <w:drawing>
          <wp:inline distT="0" distB="0" distL="0" distR="0" wp14:anchorId="452E229F" wp14:editId="15F302E2">
            <wp:extent cx="553085" cy="436245"/>
            <wp:effectExtent l="0" t="0" r="0" b="1905"/>
            <wp:docPr id="117" name="Рисунок 117"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 80. При художественно-декоративном освещении объектов ландшафтной архитектуры разрешается применение источников цветного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7.5.6.10. Приборы архитектурного освещения должны располагаться таким образом,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7.5.6.11. Коэффициент эксплуатации при проектировании установок архитектурного освещения следует принимать в зависимости от ориентации светового отверстия осветительного прибора и используемого в нем источника света: MF = 0,67, если стекло прибора ориентировано вертикально или в нижнюю полусферу (в пределах угла 90° - 270°) и MF = 0,59 при ориентации стекла в верхнюю полусферу.</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7.5.7. Витринное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7.5.7.1. Средняя освещенность в вертикальной плоскости при общем освещении витрины на высоте 1,5 м от уровня тротуара, а также освещенность акцентирующего освещения в сумме с общим не должны превышать значений, приведенных в таблице 7.25.</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7.25</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37"/>
        <w:gridCol w:w="1452"/>
        <w:gridCol w:w="1654"/>
      </w:tblGrid>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Категория улицы, площади</w:t>
            </w:r>
          </w:p>
        </w:tc>
        <w:tc>
          <w:tcPr>
            <w:tcW w:w="12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в вертикальной плоскости, лк</w:t>
            </w:r>
          </w:p>
        </w:tc>
        <w:tc>
          <w:tcPr>
            <w:tcW w:w="15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Суммарная освещенность в вертикальной плоскости (общее и акцентирующее освещение), лк, не более</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12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15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12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15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12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15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r>
      <w:tr w:rsidR="003C0CFF" w:rsidRPr="003C0CFF" w:rsidTr="003C0CFF">
        <w:tc>
          <w:tcPr>
            <w:tcW w:w="3750"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Площадь акцентирующего освещения должна составлять не более 20 % площади витрины.</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Для витрин, в которых выставлены темные товары, освещенность следует повышать на одну ступень по шкале освещенности, для витрин со светлым товаром освещенность следует снижать на одну ступень.</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7.5.7.2. При освещении витрин следует применять осветительные приборы с разрядными источниками света и светодиодами. Источники света выбираются с учетом требований к цветоразличению по таблице 7.26.</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7.26</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Рекомендуемые источники света для освещения витрин</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02"/>
        <w:gridCol w:w="2460"/>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Вид товара</w:t>
            </w:r>
          </w:p>
        </w:tc>
        <w:tc>
          <w:tcPr>
            <w:tcW w:w="49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Цветовые характеристики источника света</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6C258C4" wp14:editId="08D427AE">
                  <wp:extent cx="223520" cy="233680"/>
                  <wp:effectExtent l="0" t="0" r="5080" b="0"/>
                  <wp:docPr id="116" name="Рисунок 116"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E02F4D5" wp14:editId="6277792D">
                  <wp:extent cx="553085" cy="436245"/>
                  <wp:effectExtent l="0" t="0" r="0" b="1905"/>
                  <wp:docPr id="115" name="Рисунок 115"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Ткани, галантерея, парфюмерия, игрушки, книги, обувь, головные уборы, меха</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2800 - 5000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и более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Электротовары, посудохозяйственные, канцтовары, бакалея, хлеб</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2800 - 3200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и более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Мясные, молочные, гастрономические продукты, овощи, фрукты, кондитерские изделия</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2800 - 3500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и более</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Рыбные продукты</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4000 - 6500</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и более</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7.5.7.3. Осветительные приборы должны быть установлены таким образом, чтобы их выходные отверстия или отраженные от выставленных товаров блики не попали в центральное поле зрения водителей и пешеходов, находящихся на расстоянии не менее 1 м от стекла витрины.</w:t>
      </w:r>
    </w:p>
    <w:p w:rsidR="003C0CFF" w:rsidRPr="003C0CFF" w:rsidRDefault="003C0CFF" w:rsidP="003C0CFF">
      <w:pPr>
        <w:shd w:val="clear" w:color="auto" w:fill="FFFFFF"/>
        <w:spacing w:before="120" w:after="120" w:line="240" w:lineRule="auto"/>
        <w:jc w:val="center"/>
        <w:outlineLvl w:val="2"/>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7.5.8. Рекламное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7.5.8.1. Наибольшая допустимая средняя яркость и максимально допустимая яркость отдельных участков рекламных и информационных конструкций, в том числе демонстрирующих изображения с помощью электронных носителей, в зависимости от их площади и расположения относительно глаз водителей приведены в таблице 7.27.</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7.27</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Нормы яркости рекламных и информационных конструкций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82"/>
        <w:gridCol w:w="758"/>
        <w:gridCol w:w="831"/>
        <w:gridCol w:w="1024"/>
        <w:gridCol w:w="1441"/>
        <w:gridCol w:w="1024"/>
        <w:gridCol w:w="1441"/>
        <w:gridCol w:w="1024"/>
        <w:gridCol w:w="1441"/>
      </w:tblGrid>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Расположение рекламной панели или щита</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Площадь объекта S, м²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Высота установки объекта h *, м</w:t>
            </w:r>
          </w:p>
        </w:tc>
        <w:tc>
          <w:tcPr>
            <w:tcW w:w="1980" w:type="dxa"/>
            <w:gridSpan w:val="6"/>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Яркость рекламной конструкции, кд/м², при категории улицы</w:t>
            </w: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6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66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w:t>
            </w:r>
          </w:p>
        </w:tc>
        <w:tc>
          <w:tcPr>
            <w:tcW w:w="66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наибольшая допустимая</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максимальная **</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наибольшая допустимая</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максимальная **</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наибольшая допустимая</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максимальная **</w:t>
            </w: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Поперек оси зрения водителя автотранспорта вне проезжей части при площади S объекта, м², и его высоте h, м, над проезжей частью, в том числе на фасадах зданий, расположенных поперек улицы</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S ≤ 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&lt; 2 ***</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3,5</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&lt; S ≤ 6</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3,5</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&lt; S ≤ 12</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 &lt; S ≤ 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Более 75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3,5</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Вдоль оси зрения водителя автотранспорта вне проезжей части, на фасадах зданий, расположенных вдоль улицы, на кровле зданий при любой ориентации рекламной конструкции</w:t>
            </w:r>
          </w:p>
        </w:tc>
        <w:tc>
          <w:tcPr>
            <w:tcW w:w="5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Любая</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3,5</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r>
      <w:tr w:rsidR="003C0CFF" w:rsidRPr="003C0CFF" w:rsidTr="003C0CFF">
        <w:tc>
          <w:tcPr>
            <w:tcW w:w="3750" w:type="dxa"/>
            <w:gridSpan w:val="9"/>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Высота отсчитывается от уровня проезжей части до нижней кромки рекламной конструкции.</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Максимальная яркость определяется как габаритная для наиболее ярких участков площадью 0,2 x 0,2 м.</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 установке рекламных объектов на высоте менее 2 м расстояние от бордюра до ближней боковой кромки объекта должно быть более 2 м.</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7.5.8.2. Суммарная засветка окон жилых помещений жилых зданий и палат лечебных зданий световыми приборами архитектурного, рекламного и наружного освещения не должны быть выше значений средней вертикальной освещенности, указанных в 7.5.5.2.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7.5.8.3. Работа рекламной или информационной конструкции в темное время суток в динамическом режиме возможна, если видимый угловой размер ее проекции на плоскость, перпендикулярную линии зрения из точки, расположенной на расстоянии 1 м от геометрического центра окон жилых помещений жилых зданий, палат лечебных учреждений, палат и спальных комнат объектов социального обеспечения, не превышает 2,5°, либо рекламная конструкция не видна из данной точки.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_______________</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прямоугольной рекламной установки принимается эквивалентный угловой размер, равный размеру круга, имеющего одинаковую площадь с проекцией рекламной установки на плоскость, перпендикулярную линии зрения.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Демонстрация рекламных изображений на электронных носителях должна проводиться с использованием технологии статичного изображения, без использования динамических эффектов, содержащих аудиовизуальные произведения (за исключением медиафасадов).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Смена изображения в светлое и темное время суток должна проводиться не чаще одного раза в 5 с, продолжительность смены изображения должна составлять более 2 с и проводиться путем плавного снижения яркости до нулевого значения и последующего плавного повышения яркости.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Демонстрация изображений на медиафасадах в светлое время суток может проводиться с использованием динамических эффектов. В темное время суток демонстрация изображений на медиафасадах с использованием динамических эффектов запрещена.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Смена изображения на медиафасадах в темное время суток должна проводиться не чаще одного раза в 1 мин, продолжительность смены изображения должна составлять более 10 с и проводиться путем плавного снижения яркости до нулевого значения и последующего плавного повышения яркости.</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7.6. Аварийное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7.6.1. Аварийное освещение подразделяется на эвакуационное и резервное. Виды аварийного освещения представлены на рисунке 7.1.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Эвакуационное освещение подразделяется на освещение путей эвакуации (включая систему указания путей эвакуации), освещение зон повышенной опасности и антипаническое эвакуационное освещение (рисунок 7.1).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C709F79" wp14:editId="27A29C8E">
            <wp:extent cx="8750300" cy="4316730"/>
            <wp:effectExtent l="0" t="0" r="0" b="7620"/>
            <wp:docPr id="114" name="Рисунок 114" descr="https://mobile.olimpoks.ru/Prepare/Doc/1035/5/f6b6ea45-8c63-4ce0-8046-f504baab01c2/i/cde2a8a8-6c4b-445c-a90f-88c5006ce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mobile.olimpoks.ru/Prepare/Doc/1035/5/f6b6ea45-8c63-4ce0-8046-f504baab01c2/i/cde2a8a8-6c4b-445c-a90f-88c5006cede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50300" cy="431673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7.1. Виды аварийного освещения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(рисунок 7.1 в ред. Изменения N 1, утв. Приказом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Аварийное освещение предусматривается на случай нарушения питания рабочего освещения. Аварийное освещение должно включаться автоматически при отключении питания рабочего освещения либо вручную, если автоматика не сработала.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Питание аварийного освещения осуществляется в соответствии с требованиями [7].</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Аварийное освещение подключается к источнику питания, независимому от источника питания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7.6.2. Для аварийного освещения следует применять: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светодиодные источники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люминесцентные лампы - в помещениях с минимальной температурой воздуха не менее 5 °C и при условии питания ламп во всех режимах напряжением не ниже 90 % номинального;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разрядные лампы высокого давления при условии их мгновенного или быстрого повторного зажигания как в горячем состоянии после кратковременного отключения, так и в холодном состоянии;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лампы накаливания - при невозможности использования других источников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цветопередачи </w:t>
      </w:r>
      <w:r w:rsidRPr="003C0CFF">
        <w:rPr>
          <w:rFonts w:eastAsia="Times New Roman" w:cstheme="minorHAnsi"/>
          <w:noProof/>
          <w:color w:val="000000" w:themeColor="text1"/>
          <w:sz w:val="24"/>
          <w:szCs w:val="24"/>
          <w:lang w:eastAsia="ru-RU"/>
        </w:rPr>
        <w:drawing>
          <wp:inline distT="0" distB="0" distL="0" distR="0" wp14:anchorId="245CC4E3" wp14:editId="15F9EF04">
            <wp:extent cx="553085" cy="436245"/>
            <wp:effectExtent l="0" t="0" r="0" b="1905"/>
            <wp:docPr id="113" name="Рисунок 113"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применяемых источников света для аварийного освещения должен быть не менее 40.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7.6.3. Освещение путей эвакуации в помещениях, местах производства работ вне зданий и на технологических площадках промышленных предприятий следует предусматривать по путям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коридорах и проходах по путям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местах изменения (перепада) уровня пола или покрытия;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зоне каждого изменения направления пути;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пересечении проходов и коридоров;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лестничных маршах, при этом каждая ступень должна быть освещена прямым светом;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перед каждым эвакуационным выходом из помещения, требующего эвакуационного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перед пунктом медицинской помощи;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местах размещения средств экстренной связи;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местах размещения средств пожаротушения;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местах размещения плана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снаружи перед конечным выходом из здания или сооружения;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технологических площадках и лестницах промышленных предприятий;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(перечисление введено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 рабочих зонах наружных технологических установок;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(перечисление введено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площадках и лестницах обслуживания наружной технологической аппаратуры, резервуаров, сливоналивных эстакадах и лестницах;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(перечисление введено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технологических и кабельных эстакадах.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(перечисление введено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Эвакуационное освещение не требуется на участках путей эвакуации расстоянием до 7 м от начальной точки эвакуации до выхода из помещения при условии отсутствия факторов, создающих опасность и затруднения при эвакуации на данных участках, а также при условии прямой видимости выхода из помещения от начальной точки эвакуации, например в офисах, кабинетах, подсобных, кладовых и прочих помещениях при соблюдении вышеуказанных условий.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(абзац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Нормы освещенности, предельная равномерность освещенности, порядок включения и продолжительность работы освещения путей эвакуации приведены в таблице 7.28. Повышенные нормы освещенности путей эвакуации установлены для лестничных маршей в зданиях с постоянным пребыванием маломобильных групп населения (МГН).</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7.28</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Нормы аварийного освещения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50"/>
        <w:gridCol w:w="1545"/>
        <w:gridCol w:w="2168"/>
        <w:gridCol w:w="1410"/>
        <w:gridCol w:w="2293"/>
      </w:tblGrid>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Виды и объекты аварийного освещения</w:t>
            </w:r>
          </w:p>
        </w:tc>
        <w:tc>
          <w:tcPr>
            <w:tcW w:w="585"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Нормируемая освещенность </w:t>
            </w:r>
            <w:r w:rsidRPr="003C0CFF">
              <w:rPr>
                <w:rFonts w:eastAsia="Times New Roman" w:cstheme="minorHAnsi"/>
                <w:noProof/>
                <w:color w:val="000000" w:themeColor="text1"/>
                <w:sz w:val="24"/>
                <w:szCs w:val="24"/>
                <w:lang w:eastAsia="ru-RU"/>
              </w:rPr>
              <w:drawing>
                <wp:inline distT="0" distB="0" distL="0" distR="0" wp14:anchorId="305328EC" wp14:editId="0155AF9E">
                  <wp:extent cx="308610" cy="276225"/>
                  <wp:effectExtent l="0" t="0" r="0" b="9525"/>
                  <wp:docPr id="112" name="Рисунок 112" descr="https://mobile.olimpoks.ru/Prepare/Doc/1035/5/f6b6ea45-8c63-4ce0-8046-f504baab01c2/i/2b4e6de4-78de-47ac-a428-2adc65f9d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mobile.olimpoks.ru/Prepare/Doc/1035/5/f6b6ea45-8c63-4ce0-8046-f504baab01c2/i/2b4e6de4-78de-47ac-a428-2adc65f9d24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на горизонтальной поверхности, лк, не менее</w:t>
            </w:r>
          </w:p>
        </w:tc>
        <w:tc>
          <w:tcPr>
            <w:tcW w:w="57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Предельная равномерность освещенности </w:t>
            </w:r>
            <w:r w:rsidRPr="003C0CFF">
              <w:rPr>
                <w:rFonts w:eastAsia="Times New Roman" w:cstheme="minorHAnsi"/>
                <w:noProof/>
                <w:color w:val="000000" w:themeColor="text1"/>
                <w:sz w:val="24"/>
                <w:szCs w:val="24"/>
                <w:lang w:eastAsia="ru-RU"/>
              </w:rPr>
              <w:drawing>
                <wp:inline distT="0" distB="0" distL="0" distR="0" wp14:anchorId="4F3EF79F" wp14:editId="3DAE6395">
                  <wp:extent cx="1073785" cy="659130"/>
                  <wp:effectExtent l="0" t="0" r="0" b="7620"/>
                  <wp:docPr id="111" name="Рисунок 111" descr="https://mobile.olimpoks.ru/Prepare/Doc/1035/5/f6b6ea45-8c63-4ce0-8046-f504baab01c2/i/85795a9f-0b20-4f48-bf44-898e27e3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mobile.olimpoks.ru/Prepare/Doc/1035/5/f6b6ea45-8c63-4ce0-8046-f504baab01c2/i/85795a9f-0b20-4f48-bf44-898e27e3c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785" cy="6591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662F21BE" wp14:editId="392E7554">
                  <wp:extent cx="1169670" cy="669925"/>
                  <wp:effectExtent l="0" t="0" r="0" b="0"/>
                  <wp:docPr id="110" name="Рисунок 110" descr="https://mobile.olimpoks.ru/Prepare/Doc/1035/5/f6b6ea45-8c63-4ce0-8046-f504baab01c2/i/8d02c26f-1e8f-4c5a-a5e9-93daea924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mobile.olimpoks.ru/Prepare/Doc/1035/5/f6b6ea45-8c63-4ce0-8046-f504baab01c2/i/8d02c26f-1e8f-4c5a-a5e9-93daea924a9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6699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 менее</w:t>
            </w:r>
          </w:p>
        </w:tc>
        <w:tc>
          <w:tcPr>
            <w:tcW w:w="75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Продолжительность работы аварийного освещения, ч, не менее</w:t>
            </w:r>
          </w:p>
        </w:tc>
        <w:tc>
          <w:tcPr>
            <w:tcW w:w="1050" w:type="dxa"/>
            <w:tcBorders>
              <w:top w:val="nil"/>
              <w:left w:val="nil"/>
              <w:bottom w:val="single" w:sz="6" w:space="0" w:color="000000"/>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Режим включения аварийного освещения</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Пути эвакуации шириной до 2 м:</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полу по оси прохода</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Должно обеспечивать 50 % нормируемой освещенности через 5 с после нарушения питания рабочего освещения, а 100 % нормируемой освещенности - через 10 с</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полу в полосе шириной не менее 50 % ширины прохода, симметрично расположенная относительно центральной линии</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пункт первой помощи, места с противопожарным оборудованием, места размещения плана эвакуации, места включения аварийной сигнализации, перед каждым эвакуационным выходом, снаружи перед каждым конечным выходом из здания</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лестничных маршей в зданиях с постоянным пребыванием МГН и детей дошкольного возраста</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Антипаническое освещение - на всей свободной площади пола, за исключением полосы 0,5 м по периметру помещения</w:t>
            </w:r>
          </w:p>
        </w:tc>
        <w:tc>
          <w:tcPr>
            <w:tcW w:w="58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Должно обеспечивать 50 % нормируемой освещенности через 5 с после нарушения питания рабочего освещения, а 100 % нормируемой освещенности - через 10 с</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зон повышенной опасности</w:t>
            </w:r>
          </w:p>
        </w:tc>
        <w:tc>
          <w:tcPr>
            <w:tcW w:w="5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10 % нормируемой освещенности для общего рабочего освещения, но не менее 15,0</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Определяется временем, при котором существует опасность для людей</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Должно обеспечивать 100 % нормируемой освещенности через 0,5 с после нарушения питания рабочего освещения</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Резервное освещение</w:t>
            </w:r>
          </w:p>
        </w:tc>
        <w:tc>
          <w:tcPr>
            <w:tcW w:w="58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 менее 30 % нормируемой освещенности для общего рабочего освещения</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Постоянная работа до восстановления питания рабочего освещения</w:t>
            </w:r>
          </w:p>
        </w:tc>
        <w:tc>
          <w:tcPr>
            <w:tcW w:w="10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Должно обеспечивать 50 % нормируемой освещенности не более чем через 15 с после нарушения питания рабочего освещения и 100 % нормируемой освещенности - не более чем через 60 с, если иное не установлено специальными нормами или соответствующим обоснованием</w:t>
            </w:r>
          </w:p>
        </w:tc>
      </w:tr>
      <w:tr w:rsidR="003C0CFF" w:rsidRPr="003C0CFF" w:rsidTr="003C0CFF">
        <w:tc>
          <w:tcPr>
            <w:tcW w:w="3750" w:type="dxa"/>
            <w:gridSpan w:val="5"/>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7.6.4. Антипаническое освещение направлено на предотвращение паники и обеспечение условий для безопасного подхода к путям эвакуации и его следует предусматривать в больших помещениях площадью более 60 м² при одновременном нахождении в нем 30 и более человек, а также в помещениях с постоянным пребыванием маломобильных групп населения и детей дошкольного возраста. Нормы освещенности, предельная равномерность освещенности, порядок включения и продолжительность работы антипанического освещения приведены в таблице 7.28.</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7.6.4 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7.6.5. Эвакуационное освещение зон повышенной опасности следует предусматривать для безопасного завершения потенциально опасного процесса или ситуации. Нормы освещенности, предельная равномерность освещенности, порядок включения и продолжительность работы эвакуационного освещения приведены в таблице 7.28.</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7.6.6. Резервное освещение следует предусматривать, если по условиям технологического процесса или ситуации требуется нормальное продолжение работы при нарушении питания рабочего освещения, а также если связанное с этим нарушение обслуживания оборудования и механизмов может вызвать: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гибель, травмирование или отравление людей;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взрыв, пожар, длительное нарушение технологического процесса;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утечку токсических и радиоактивных веществ в окружающую среду;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нарушение работы таких объектов, как электрические станции, узлы радио-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производственных помещений, в которых недопустимо прекращение работ, и т.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Резервное освещение не должно использоваться для целей эвакуационного освещения. Если резервное освещение проектируется так, чтобы быть использованным для целей эвакуационного освещения, то оно должно удовлетворять соответствующим требованиям, установленным выше для эвакуационного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Необходимость принятия для резервного освещения более высоких норм освещенности определяется технологами в зависимости от условий функционирования данного объекта.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Нормы освещенности, предельная равномерность освещенности, порядок включения резервного освещения приведены в таблице 7.28.</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7.6.7. Слепящее действие светильников аварийного освещения ограничивается предельными значениями силы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горизонтальных путей эвакуации сила света светильников аварийного освещения ограничивается в нижней полусфере в пределах углов от 60° до 90° относительно вертикали и при всех азимутальных углах согласно рисунку 7.2, при которых ее значения не должны превышать предельных значений, приведенных в таблице 7.29.</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путей эвакуации, расположенных на разных уровнях и в местах производства работ вне зданий, сила света светильников аварийного освещения ограничивается в нижней полусфере, и при любых вертикальных и азимутальных углах ее значения не должны превышать предельных значений, приведенных в таблице 7.29.</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657E24B" wp14:editId="34913BBA">
            <wp:extent cx="5667375" cy="3306445"/>
            <wp:effectExtent l="0" t="0" r="9525" b="8255"/>
            <wp:docPr id="109" name="Рисунок 109" descr="https://mobile.olimpoks.ru/Prepare/Doc/1035/5/f6b6ea45-8c63-4ce0-8046-f504baab01c2/i/5fefb937-c229-447c-bf1b-880daaaa6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mobile.olimpoks.ru/Prepare/Doc/1035/5/f6b6ea45-8c63-4ce0-8046-f504baab01c2/i/5fefb937-c229-447c-bf1b-880daaaa627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7375" cy="330644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7.2. Ограничение слепящего действия на путях эвакуации, расположенных на одном уровне.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 зоны, где максимальная сила света не должна превышать значений таблицы 7.29</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2AD184D" wp14:editId="058A11A0">
            <wp:extent cx="5720080" cy="3328035"/>
            <wp:effectExtent l="0" t="0" r="0" b="5715"/>
            <wp:docPr id="108" name="Рисунок 108" descr="https://mobile.olimpoks.ru/Prepare/Doc/1035/5/f6b6ea45-8c63-4ce0-8046-f504baab01c2/i/0034c228-24a1-4caf-9c1b-1f5372e96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mobile.olimpoks.ru/Prepare/Doc/1035/5/f6b6ea45-8c63-4ce0-8046-f504baab01c2/i/0034c228-24a1-4caf-9c1b-1f5372e9661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20080" cy="332803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7.3. Ограничение слепящего действия на путях эвакуации, расположенных на разных уровнях</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 зона, где максимальная сила света не должна превышать значений таблицы 7.29</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7.29</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Ограничение силы света светильников аварийного освещения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05"/>
        <w:gridCol w:w="3032"/>
        <w:gridCol w:w="1334"/>
      </w:tblGrid>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Высота установки светильников аварийного освещения h, м</w:t>
            </w:r>
          </w:p>
        </w:tc>
        <w:tc>
          <w:tcPr>
            <w:tcW w:w="258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Сила света светильников аварийного освещения, кд, не более</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2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путей эвакуации и антипаническое освещение</w:t>
            </w:r>
          </w:p>
        </w:tc>
        <w:tc>
          <w:tcPr>
            <w:tcW w:w="12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зон повышенной опасности</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h &lt; 2,5</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 &lt; h &lt; 3,0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1800</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 &lt; h &lt; 3,5</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3200</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 &lt; h &lt; 4,0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&lt; h &lt; 4,5</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7000</w:t>
            </w:r>
          </w:p>
        </w:tc>
      </w:tr>
      <w:tr w:rsidR="003C0CFF" w:rsidRPr="003C0CFF" w:rsidTr="003C0CFF">
        <w:tc>
          <w:tcPr>
            <w:tcW w:w="11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h &gt; 4,5</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w:t>
            </w:r>
          </w:p>
        </w:tc>
        <w:tc>
          <w:tcPr>
            <w:tcW w:w="12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10000</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7.6.8. Осветительные приборы аварийного освещения предусматриваются либо постоянного действия, включенными одновременно с осветительными приборами рабочего освещения, либо непостоянного действия, автоматически включаемыми при нарушении питания рабочего освещения в данной зоне. В случае применения для рабочего и аварийного освещения светильников с однотипным корпусом светильники аварийного освещения должны быть маркированы буквой "А" красного цвета.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7.6.9. Эвакуационные знаки безопасности устанавливаются в помещениях с одновременным пребыванием более 10 человек и площадью более 60 м², а также на открытых технологических сооружениях опасных производственных объектов.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Эвакуационные знаки безопасности постоянного действия устанавливаются: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над каждым эвакуационным выходом;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путях эвакуации, однозначно указывая направления эвакуации;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обозначения поста медицинской помощи;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обозначения мест размещения первичных средств пожаротушения;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для обозначения мест размещения средств экстренной связи и других средств, предназначенных для оповещения о чрезвычайной ситуации.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дошкольных образовательных организациях, учебных и медицинских учреждениях и зданиях с постоянным пребыванием МГН эвакуационные знаки безопасности устанавливаются независимо от числа находящихся в них людей.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помещениях, где возможно задымление, эвакуационные знаки безопасности следует располагать на высоте не более 0,5 м от пола. Знаки безопасности с внешней подсветкой не допускаются.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7.6.10. Яркость эвакуационных знаков безопасности в пределах любой части цветной поверхности знаков безопасности во всех направлениях должна быть не менее: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- 2 кд/м² в отсутствие задымления;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- 10 кд/м² в условиях задымления.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Предельная равномерность распределения яркости в пределах цветной поверхности знаков безопасности должна быть не менее 1:5.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Отношение яркости сигнального цвета к яркости контрастного цвета должно быть не менее 1:15 и не более 1:5.</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Высоту эвакуационного знака безопасности определяют согласно приложению 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Питание эвакуационных знаков безопасности в нормальном режиме должно проводиться от источника, независимого от источника питания рабочего освещения, а в аварийном режиме переключаться на питание от третьего независимого источника (для объектов, относящихся к первой и второй категориям по надежности электроснабжения), например от встроенной в светильник аккумуляторной батареи или от второго независимого источника (для объектов, относящихся к третьей категории по надежности электроснабжения).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Продолжительность работы эвакуационных знаков безопасности должна быть не менее 1 ч.</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7.6.11. Требования к светильникам аварийного освещения должны соответствовать ГОСТ 27900 и ГОСТ IEC 60598-2-22.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эвакуационным знакам безопасности должны соответствовать ГОСТ 12.4.026.</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7.6.12. Аварийное освещение котельных предусматривается в соответствии с СП 89.13330.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7.6.12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7.6.13. Конкретные требования к аварийному освещению помещений различного назначения приведены в СП 439.1325800.</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7.6.13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7.7. Аварийное освещение автодорожных тоннелей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7.7.1. В транспортной зоне тоннелей длиной более 125 м должно быть предусмотрено освещение зон повышенной опасности, предназначенное для обеспечения необходимых условий видимости для выезда транспорта из тоннеля при аварийном отключении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Освещение обеспечивается частью светильников рабочего освещения, в которых все или часть ламп подключают к источнику, независимому от источника питания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Средняя освещенность от аварийного освещения на дорожном покрытии транспортной зоны тоннеля должна быть не менее 10 лк, а минимальная - не менее 2 лк, при этом нормируемая освещенность должна быть обеспечена не более чем через 0,5 с после отключения рабочего освещения.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Светильники для освещения зон повышенной опасности должны иметь степень защиты от воздействия окружающей среды не менее IP 65 по ГОСТ 14254 и класс защиты от поражения электрическим током I или II по ГОСТ Р МЭК 60598-1.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7.7.2. В тоннелях длиной 500 м и более в дополнение к освещению зон повышенной опасности должны быть предусмотрены освещение и обозначение путей эвакуации. Необходимые условия видимости путей эвакуации в транспортной зоне, предназначенных для выхода из тоннеля людей, покинувших транспортные средства в аварийной ситуации, должны быть реализованы с помощью специальных эвакуационных светильников и световых указателей.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7.7.3. Для обозначения путей эвакуации следует использовать статические или динамические световые указатели направления движения людей к ближайшему эвакуационному выходу.</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Световые указатели устанавливают на стенах тоннеля, имеющих эвакуационные выходы, на высоте до 1 м над уровнем эвакуационного тротуара (банкетки), с шагом не более 25 м. Ближайшие к эвакуационному выходу указатели должны располагаться с обеих сторон дверного проема эвакуационного выхода на расстоянии не более 2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7.7.4. Статические световые указатели должны быть включены постоянно и показывать направление к ближайшему эвакуационному выходу. Такие указатели могут давать дополнительную информацию о расстоянии до въездного или выездного порталов тоннеля.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Динамические световые указатели должны показывать направление к ближайшему эвакуационному выходу, расположенному вне зоны пожара или задымления в тоннеле. Такие указатели следует устанавливать при длине тоннеля свыше 1000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предотвращения слепящего действия на водителя транспортного средства сила света световых указателей направления эвакуации, постоянно работающих в нормальном режиме, не должна превышать 40 кд в направлениях, определяемых согласно приложению Н.</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7.7.5. Для обозначения эвакуационных выходов следует использовать световые указатели со знаком безопасности "Выход". Указатели устанавливают над дверными проемами эвакуационных выходов на высоте 2,1 - 2,2 м от уровня пола. Такие указатели должны быть включены постоянно.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Дополнительно целесообразно устанавливать вокруг двери эвакуационного выхода сигнальные огни зеленого цвета, включаемые в аварийной ситуации и работающие в пульсирующем режиме для привлечения внимания эвакуируемых людей. Пример расположения сигнальных огней приведен в приложении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Частота пульсации сигнальных огней должна быть в диапазоне от 1 до 2 Гц, а сила света - не менее 150 кд по направлениям, попадающим в поле зрения эвакуируемых людей.</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7.7.6. Питание эвакуационных светильников и световых указателей в транспортной зоне тоннеля осуществляется в нормальном режиме от источника, не зависящего от сети рабочего освещения, а в аварийном режиме - от третьего независимого источника, для чего должно быть предусмотрено автоматическое переключение на питание от аккумуляторных батарей или другого предназначенного для этой цели источника. Продолжительность работы эвакуационного освещения в аварийном режиме должна быть достаточной для эвакуации людей из тоннеля, но не менее 1 ч.</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Эвакуационные светильники и световые указатели в транспортной зоне тоннеля должны иметь степень защиты от воздействия окружающей среды не менее IP 66 по ГОСТ 14254 и класс защиты от поражения электрическим током I или II по ГОСТ Р МЭК 60598-1.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7.7.7. В притоннельных сооружениях должно быть предусмотрено эвакуационное и резервное освещение. Резервное освещение, предназначенное для продолжения работы как при рабочем освещении, следует устанавливать в технических помещениях с оборудованием, обеспечивающим жизнедеятельность тоннеля, таких как центральный диспетчерский пост, электрощитовые, вентиляционные, насосные и т. п.</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проектировании аварийного освещения притоннельных сооружений, служебно-технических и вспомогательных помещений тоннеля следует руководствоваться общими требованиями к аварийному освещению, изложенными в 7.6.</w:t>
      </w:r>
    </w:p>
    <w:p w:rsidR="003C0CFF" w:rsidRPr="003C0CFF" w:rsidRDefault="003C0CFF" w:rsidP="003C0CFF">
      <w:pPr>
        <w:shd w:val="clear" w:color="auto" w:fill="FFFFFF"/>
        <w:spacing w:before="120" w:after="120" w:line="240" w:lineRule="auto"/>
        <w:jc w:val="center"/>
        <w:outlineLvl w:val="1"/>
        <w:rPr>
          <w:rFonts w:eastAsia="Times New Roman" w:cstheme="minorHAnsi"/>
          <w:b/>
          <w:bCs/>
          <w:color w:val="000000" w:themeColor="text1"/>
          <w:sz w:val="24"/>
          <w:szCs w:val="24"/>
          <w:lang w:eastAsia="ru-RU"/>
        </w:rPr>
      </w:pPr>
      <w:r w:rsidRPr="003C0CFF">
        <w:rPr>
          <w:rFonts w:eastAsia="Times New Roman" w:cstheme="minorHAnsi"/>
          <w:b/>
          <w:bCs/>
          <w:color w:val="000000" w:themeColor="text1"/>
          <w:sz w:val="24"/>
          <w:szCs w:val="24"/>
          <w:lang w:eastAsia="ru-RU"/>
        </w:rPr>
        <w:t>7.8. Охранное и дежурное освещение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7.8.1. Охранное освещение (при отсутствии специальных технических средств охраны) должно предусматриваться вдоль границ территорий, охраняемых в ночное время. Освещенность должна быть не менее 0,5 лк на уровне земли в горизонтальной плоскости или на уровне 0,5 м от земли на одной стороне вертикальной плоскости, перпендикулярной к линии границы.</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использовании для охраны специальных технических средств освещенность следует принимать по заданию на проектирование.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охранного освещения используют любые источники света, за исключением случаев, когда охранное освещение находится в выключенном состоянии и автоматически включается от действия охранной сигнализации или других технических средств. В таких случаях следует применять:</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светодиодные источники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компактные люминесцентные лампы, работающие при отрицательных температурах;</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разрядные лампы высокого давления при условии их мгновенного зажигания и быстрого повторного зажигания как в горячем состоянии, после кратковременного отключения, так и в холодном состоянии быстрого пуска;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лампы накаливания при невозможности использования других источников света.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7.8.2. Область применения, значения освещенности, равномерность и требования к качеству для дежурного освещения не нормируются.</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А. ОПРЕДЕЛЕНИЕ РАЗРЯДА ЗРИТЕЛЬНЫХ РАБОТ ПРИ РАССТОЯНИИ ОТ ОБЪЕКТОВ РАЗЛИЧЕНИЯ ДО ГЛАЗ РАБОТАЮЩЕГО БОЛЕЕ 0,5 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 При расстоянии от объекта различения до глаз работающего более 0,5 м разряд зрительных работ по таблице А.1 следует устанавливать с учетом углового размера объекта различения, определяемого отношением минимального размера объекта различения d к расстоянию от этого объекта до глаз работающего l.</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А.1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Разряды зрительных работ при больших расстояниях от объектов различения до глаз работающего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90"/>
        <w:gridCol w:w="3690"/>
      </w:tblGrid>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зрительной работы</w:t>
            </w:r>
          </w:p>
        </w:tc>
        <w:tc>
          <w:tcPr>
            <w:tcW w:w="3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Пределы отношения d/l</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0,0003</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0,0003 до 0,0006</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0,0006 до 0,001</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0,001 до 0,002</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0,002 до 0,01</w:t>
            </w:r>
          </w:p>
        </w:tc>
      </w:tr>
      <w:tr w:rsidR="003C0CFF" w:rsidRPr="003C0CFF" w:rsidTr="003C0CFF">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 0,01</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Б. ОПРЕДЕЛЕНИЕ РАЗРЯДА ЗРИТЕЛЬНЫХ РАБОТ ДЛЯ ПРОТЯЖЕННЫХ ОБЪЕКТОВ РАЗЛИЧЕНИЯ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 Для протяженных объектов различения, имеющих длину b &gt; 2a, где a - ширина объекта, разряд зрительных работ определяется по эквивалентному размеру объекта различения. В остальных случаях разряд зрительных работ определяется по минимальному размеру объекта различения.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расстояниях от глаза до объекта различения, меньших 500 мм, эквивалентный размер определяется по номограмме, приведенной на рисунке Б.1.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расстояниях от глаза до объекта различения, больших 500 мм, эквивалентный размер определяется по номограмме, приведенной на рисунке Б.2.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 Преобразование линейных размеров объекта различения (в миллиметрах) в угловые (в угловых минутах) при использовании номограммы, приведенной на рисунке Б.2, осуществляется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CD2DDD3" wp14:editId="6094B20E">
            <wp:extent cx="1828800" cy="297815"/>
            <wp:effectExtent l="0" t="0" r="0" b="6985"/>
            <wp:docPr id="107" name="Рисунок 107" descr="https://mobile.olimpoks.ru/Prepare/Doc/1035/5/f6b6ea45-8c63-4ce0-8046-f504baab01c2/i/07156288-224e-4e17-a209-cd7c96678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mobile.olimpoks.ru/Prepare/Doc/1035/5/f6b6ea45-8c63-4ce0-8046-f504baab01c2/i/07156288-224e-4e17-a209-cd7c9667896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28800"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(Б.1)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x - размер объекта, мм;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l - расстояние от глаз до объекта, мм.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Преобразование полученного по номограмме эквивалентного размера из угловых размеров (в угловых минутах) в линейные (в миллиметрах) осуществляется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37FAB16" wp14:editId="13D34954">
            <wp:extent cx="1595120" cy="255270"/>
            <wp:effectExtent l="0" t="0" r="5080" b="0"/>
            <wp:docPr id="106" name="Рисунок 106" descr="https://mobile.olimpoks.ru/Prepare/Doc/1035/5/f6b6ea45-8c63-4ce0-8046-f504baab01c2/i/a36ccc3b-e211-4610-8dd6-f7c6235f4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mobile.olimpoks.ru/Prepare/Doc/1035/5/f6b6ea45-8c63-4ce0-8046-f504baab01c2/i/a36ccc3b-e211-4610-8dd6-f7c6235f4a6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95120"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(Б.2)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BB0E94B" wp14:editId="3CF2AA8D">
            <wp:extent cx="7134225" cy="6506845"/>
            <wp:effectExtent l="0" t="0" r="9525" b="8255"/>
            <wp:docPr id="105" name="Рисунок 105" descr="https://mobile.olimpoks.ru/Prepare/Doc/1035/5/f6b6ea45-8c63-4ce0-8046-f504baab01c2/i/e17f61e3-eb79-43fe-a1b9-9c19ce9e8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mobile.olimpoks.ru/Prepare/Doc/1035/5/f6b6ea45-8c63-4ce0-8046-f504baab01c2/i/e17f61e3-eb79-43fe-a1b9-9c19ce9e862c.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134225" cy="650684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Б.1. Номограмма для определения эквивалентного размера протяженных объектов различения при расстояниях от глаза до объекта до 500 мм</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485C7ED" wp14:editId="5B53ADBB">
            <wp:extent cx="7463790" cy="4592955"/>
            <wp:effectExtent l="0" t="0" r="3810" b="0"/>
            <wp:docPr id="104" name="Рисунок 104" descr="https://mobile.olimpoks.ru/Prepare/Doc/1035/5/f6b6ea45-8c63-4ce0-8046-f504baab01c2/i/191a6ebf-0433-41a1-9696-0462d5825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mobile.olimpoks.ru/Prepare/Doc/1035/5/f6b6ea45-8c63-4ce0-8046-f504baab01c2/i/191a6ebf-0433-41a1-9696-0462d58252e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463790" cy="459295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Б.2. Номограмма для определения эквивалентного размера протяженных объектов различения при расстояниях от глаза до объекта более 500 мм</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В. ОПРЕДЕЛЕНИЕ РАССТОЯНИЯ РАСПОЗНАВАНИЯ ЭВАКУАЦИОННЫХ ЗНАКОВ БЕЗОПАСНОСТИ</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 Вертикальный размер поля пиктограммы эвакуационного знака безопасности в зависимости от расстояния распознавания знака определяется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h = l/Z,</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l - расстояние распознавания;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h - минимальная высота знака;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Z - коэффициент, равный 100 для знаков, освещенных извне, и 200 для знаков, освещенных изнутри.</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43CC895" wp14:editId="1AE7DA51">
            <wp:extent cx="5667375" cy="3359785"/>
            <wp:effectExtent l="0" t="0" r="9525" b="0"/>
            <wp:docPr id="103" name="Рисунок 103" descr="https://mobile.olimpoks.ru/Prepare/Doc/1035/5/f6b6ea45-8c63-4ce0-8046-f504baab01c2/i/07d461e8-554e-4399-81c8-67d40871d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mobile.olimpoks.ru/Prepare/Doc/1035/5/f6b6ea45-8c63-4ce0-8046-f504baab01c2/i/07d461e8-554e-4399-81c8-67d40871df73.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335978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В.1. Определение расстояния распознавания знака безопасности</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Г. КОЭФФИЦИЕНТЫ ОТРАЖЕНИЯ И СВЕТОПРОПУСКАНИЯ СТРОИТЕЛЬНЫХ СТЕКОЛ И КОЭФФИЦИЕНТЫ ОТРАЖЕНИЯ ФАСАДНЫХ И ВНУТРЕННИХ ОТДЕЛОЧНЫХ МАТЕРИАЛОВ</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Г.1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Коэффициенты отражения и пропускания строительных стекол 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6"/>
        <w:gridCol w:w="1561"/>
        <w:gridCol w:w="1154"/>
        <w:gridCol w:w="986"/>
      </w:tblGrid>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Тип стекла, номинальная толщина</w:t>
            </w:r>
          </w:p>
        </w:tc>
        <w:tc>
          <w:tcPr>
            <w:tcW w:w="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пропускания света, относительные единицы</w:t>
            </w:r>
          </w:p>
        </w:tc>
        <w:tc>
          <w:tcPr>
            <w:tcW w:w="11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отражения света, относительные единицы</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стороной с покрытием</w:t>
            </w:r>
          </w:p>
        </w:tc>
        <w:tc>
          <w:tcPr>
            <w:tcW w:w="6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стороной без покрытия</w:t>
            </w:r>
          </w:p>
        </w:tc>
      </w:tr>
      <w:tr w:rsidR="003C0CFF" w:rsidRPr="003C0CFF" w:rsidTr="003C0CFF">
        <w:tc>
          <w:tcPr>
            <w:tcW w:w="3750" w:type="dxa"/>
            <w:gridSpan w:val="4"/>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Стекло листовое бесцветное ²</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Флоат-стекло бесцветное, 4 - 12 мм</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0,87 - 0,91</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0,08</w:t>
            </w:r>
          </w:p>
        </w:tc>
      </w:tr>
      <w:tr w:rsidR="003C0CFF" w:rsidRPr="003C0CFF" w:rsidTr="003C0CFF">
        <w:tc>
          <w:tcPr>
            <w:tcW w:w="3750" w:type="dxa"/>
            <w:gridSpan w:val="4"/>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Стекло многослойное бесцветное ³</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Флоат-стекло, 6,38 - 17,52 мм</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0,84 - 0,89</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0,08</w:t>
            </w:r>
          </w:p>
        </w:tc>
      </w:tr>
      <w:tr w:rsidR="003C0CFF" w:rsidRPr="003C0CFF" w:rsidTr="003C0CFF">
        <w:tc>
          <w:tcPr>
            <w:tcW w:w="3750" w:type="dxa"/>
            <w:gridSpan w:val="4"/>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Стекла с покрытиями</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Стекла с низкоэмиссионными мягкими покрытиями (толщиной 4 мм) ⁴</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0,76 - 0,90</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0,04 - 0,14</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0,05 - 0,18</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Стекла с солнцезащитным мягким покрытием, для применения в стеклопакете (толщиной 6 мм) ⁵</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0,08 - 0,67</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0,10 - 0,51</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0,10 - 0,43</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Стекла с солнцезащитным твердым покрытием, для применения в стеклопакете и моноостеклении (толщиной 6 мм) ⁶</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0,08 - 0,70</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0,10 - 0,51</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0,05 - 0,41</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Стекло листовое, окрашенное в массе (толщиной 6 мм) ⁷</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0,35 - 0,73</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0,05 - 0,07</w:t>
            </w:r>
          </w:p>
        </w:tc>
      </w:tr>
      <w:tr w:rsidR="003C0CFF" w:rsidRPr="003C0CFF" w:rsidTr="003C0CFF">
        <w:tc>
          <w:tcPr>
            <w:tcW w:w="18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Стекла с мультифункциональными мягкими покрытиями (толщиной 6 мм) ⁵</w:t>
            </w:r>
          </w:p>
        </w:tc>
        <w:tc>
          <w:tcPr>
            <w:tcW w:w="6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0,16 - 0,88</w:t>
            </w:r>
          </w:p>
        </w:tc>
        <w:tc>
          <w:tcPr>
            <w:tcW w:w="5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0,03 - 0,37</w:t>
            </w:r>
          </w:p>
        </w:tc>
        <w:tc>
          <w:tcPr>
            <w:tcW w:w="6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0,05 - 0,47</w:t>
            </w:r>
          </w:p>
        </w:tc>
      </w:tr>
      <w:tr w:rsidR="003C0CFF" w:rsidRPr="003C0CFF" w:rsidTr="003C0CFF">
        <w:tc>
          <w:tcPr>
            <w:tcW w:w="3750" w:type="dxa"/>
            <w:gridSpan w:val="4"/>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¹ В настоящей таблице приведены характеристики одинарных листовых стекол на основе обзора данных ведущих производителей строительных стекол, представленных на российском рынке. Характеристики остекления (стеклопакетов, двойных ниток остекления и т. п.) рассчитываются по ГОСТ EN 410. Для получения характеристик конкретного остекления необходимо использовать данные производителей либо провести измерения в лаборатории.</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² По ГОСТ 111.</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³ По ГОСТ 30826.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⁴ По ГОСТ 31364.</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⁵ По ГОСТ 33086.</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⁶ По ГОСТ 33017.</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⁷ По ГОСТ 32997.</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Приведенный коэффициент отражения света для оконного блока в целом определяется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BAF1544" wp14:editId="16CFA241">
            <wp:extent cx="2604770" cy="786765"/>
            <wp:effectExtent l="0" t="0" r="5080" b="0"/>
            <wp:docPr id="102" name="Рисунок 102" descr="https://mobile.olimpoks.ru/Prepare/Doc/1035/5/f6b6ea45-8c63-4ce0-8046-f504baab01c2/i/2f94ba06-9dc6-4615-a279-f0227d33b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mobile.olimpoks.ru/Prepare/Doc/1035/5/f6b6ea45-8c63-4ce0-8046-f504baab01c2/i/2f94ba06-9dc6-4615-a279-f0227d33b347.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04770" cy="7867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(Г.1)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36905535" wp14:editId="5A219191">
            <wp:extent cx="499745" cy="244475"/>
            <wp:effectExtent l="0" t="0" r="0" b="3175"/>
            <wp:docPr id="101" name="Рисунок 101" descr="https://mobile.olimpoks.ru/Prepare/Doc/1035/5/f6b6ea45-8c63-4ce0-8046-f504baab01c2/i/655ca340-6447-4118-ba08-150069dfc9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mobile.olimpoks.ru/Prepare/Doc/1035/5/f6b6ea45-8c63-4ce0-8046-f504baab01c2/i/655ca340-6447-4118-ba08-150069dfc92d.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приведенный коэффициент отражения света стекла для оконного блока в целом, доли единицы или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4DA542C" wp14:editId="56DBF66C">
            <wp:extent cx="255270" cy="255270"/>
            <wp:effectExtent l="0" t="0" r="0" b="0"/>
            <wp:docPr id="100" name="Рисунок 100" descr="https://mobile.olimpoks.ru/Prepare/Doc/1035/5/f6b6ea45-8c63-4ce0-8046-f504baab01c2/i/65542ae0-2dce-4882-8edc-fbf8b0d53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mobile.olimpoks.ru/Prepare/Doc/1035/5/f6b6ea45-8c63-4ce0-8046-f504baab01c2/i/65542ae0-2dce-4882-8edc-fbf8b0d534c9.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отражения с наружной стороны остекления (светопрозрачной частью оконного блока), доли единицы или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F89704A" wp14:editId="66A5A5AA">
            <wp:extent cx="276225" cy="297815"/>
            <wp:effectExtent l="0" t="0" r="9525" b="6985"/>
            <wp:docPr id="99" name="Рисунок 99" descr="https://mobile.olimpoks.ru/Prepare/Doc/1035/5/f6b6ea45-8c63-4ce0-8046-f504baab01c2/i/29daff72-92bf-4328-a511-9f2535a1e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mobile.olimpoks.ru/Prepare/Doc/1035/5/f6b6ea45-8c63-4ce0-8046-f504baab01c2/i/29daff72-92bf-4328-a511-9f2535a1eac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622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площадь остекления, 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7BD16257" wp14:editId="2AB69FEA">
            <wp:extent cx="403860" cy="223520"/>
            <wp:effectExtent l="0" t="0" r="0" b="5080"/>
            <wp:docPr id="98" name="Рисунок 98" descr="https://mobile.olimpoks.ru/Prepare/Doc/1035/5/f6b6ea45-8c63-4ce0-8046-f504baab01c2/i/25467184-e650-4e13-b8f6-5126c93cb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mobile.olimpoks.ru/Prepare/Doc/1035/5/f6b6ea45-8c63-4ce0-8046-f504baab01c2/i/25467184-e650-4e13-b8f6-5126c93cb53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коэффициент отражения света материала непрозрачных частей оконного блока (рамы и переплета), доли единицы или %;</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3B2194AC" wp14:editId="12515AF6">
            <wp:extent cx="403860" cy="318770"/>
            <wp:effectExtent l="0" t="0" r="0" b="5080"/>
            <wp:docPr id="97" name="Рисунок 97" descr="https://mobile.olimpoks.ru/Prepare/Doc/1035/5/f6b6ea45-8c63-4ce0-8046-f504baab01c2/i/d9022766-cfa2-4791-a8db-06b614da2c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mobile.olimpoks.ru/Prepare/Doc/1035/5/f6b6ea45-8c63-4ce0-8046-f504baab01c2/i/d9022766-cfa2-4791-a8db-06b614da2c3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непрозрачных частей оконного блока (рамы и переплета), 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Коэффициенты отражения окрашиваемых поверхностей фасадных и внутренних материалов и отделочных материалов приведены в таблицах Г.2 и Г.3 соответственно.</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(абзац введен Изменением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Г.2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Коэффициенты отражения окрашиваемых фасадных и внутренних поверхностей помещений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Г.2 введена Изменением N 1, утв. Приказом 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0"/>
        <w:gridCol w:w="1640"/>
      </w:tblGrid>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Цвета окрашиваемых поверхностей и отделочных материалов</w:t>
            </w:r>
          </w:p>
        </w:tc>
        <w:tc>
          <w:tcPr>
            <w:tcW w:w="10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отражения, отн. ед.</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Белый</w:t>
            </w:r>
          </w:p>
        </w:tc>
        <w:tc>
          <w:tcPr>
            <w:tcW w:w="10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0,85 - 0,87</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Белый полуматовый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0,78 - 0,82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Слоновая кость</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0,73 - 0,75</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Кремово-белый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0,55 - 0,72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Салатовый (желто-зеленый)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0,54 - 0,70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Светло-розовый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0,49 - 0,69</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Светло-бежевый</w:t>
            </w:r>
          </w:p>
        </w:tc>
        <w:tc>
          <w:tcPr>
            <w:tcW w:w="10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0,55 - 0,62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Светло-желтый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0,55 - 0,70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Светло-красный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0,54 - 0,56</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Светло-серый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0,53 - 0,60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Серый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0,30 - 0,36</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Черный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0,12 - 0,15</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точные значения коэффициентов отражения света определяют измерениями.</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Г.3</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Коэффициенты отражения фасадных отделочных материалов</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Г.3 введена Изменением N 1, утв. Приказом Минстроя России от 20.11.2019 N 699/пр)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0"/>
        <w:gridCol w:w="1472"/>
      </w:tblGrid>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Наименование</w:t>
            </w:r>
          </w:p>
        </w:tc>
        <w:tc>
          <w:tcPr>
            <w:tcW w:w="10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Интегральный коэффициент отражения света </w:t>
            </w:r>
            <w:r w:rsidRPr="003C0CFF">
              <w:rPr>
                <w:rFonts w:eastAsia="Times New Roman" w:cstheme="minorHAnsi"/>
                <w:noProof/>
                <w:color w:val="000000" w:themeColor="text1"/>
                <w:sz w:val="24"/>
                <w:szCs w:val="24"/>
                <w:lang w:eastAsia="ru-RU"/>
              </w:rPr>
              <w:drawing>
                <wp:inline distT="0" distB="0" distL="0" distR="0" wp14:anchorId="561B45FD" wp14:editId="6F58E4B5">
                  <wp:extent cx="425450" cy="351155"/>
                  <wp:effectExtent l="0" t="0" r="0" b="0"/>
                  <wp:docPr id="96" name="Рисунок 96" descr="https://mobile.olimpoks.ru/Prepare/Doc/1035/5/f6b6ea45-8c63-4ce0-8046-f504baab01c2/i/7398fbb6-6747-4c2e-a09e-dd7d0aec6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mobile.olimpoks.ru/Prepare/Doc/1035/5/f6b6ea45-8c63-4ce0-8046-f504baab01c2/i/7398fbb6-6747-4c2e-a09e-dd7d0aec6c7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45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отн. ед.</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Лицевой кирпич</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белый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0,70 - 0,72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"слоновая кость"</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0,58 - 0,60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светло-соломенный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0,52 - 0,54</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соломенный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0,43 - 0,52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желтый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0,33 - 0,35</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красный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0,30 - 0,32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Кирпич фасадный коричневый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0,13 - 0,18</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белый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0,80 - 0,87</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"слоновая кость"</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0,64 - 0,67</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светло-серый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0,55 - 0,60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светло-зеленый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0,40 - 0,42</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светло-коричневый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0,35 - 0,39</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коричневый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0,18 - 0,20</w:t>
            </w:r>
          </w:p>
        </w:tc>
      </w:tr>
      <w:tr w:rsidR="003C0CFF" w:rsidRPr="003C0CFF" w:rsidTr="003C0CFF">
        <w:tc>
          <w:tcPr>
            <w:tcW w:w="264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Керамогранит черный</w:t>
            </w:r>
          </w:p>
        </w:tc>
        <w:tc>
          <w:tcPr>
            <w:tcW w:w="10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0,12 - 0,15</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точные значения коэффициентов отражения света определяют измерениями.</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Д. ЭКСПЛУАТАЦИОННЫЕ ГРУППЫ СВЕТИЛЬНИКОВ</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Д.1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Эксплуатационные группы светильников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6"/>
        <w:gridCol w:w="294"/>
        <w:gridCol w:w="316"/>
        <w:gridCol w:w="534"/>
        <w:gridCol w:w="397"/>
        <w:gridCol w:w="316"/>
        <w:gridCol w:w="534"/>
        <w:gridCol w:w="397"/>
        <w:gridCol w:w="369"/>
        <w:gridCol w:w="473"/>
        <w:gridCol w:w="440"/>
        <w:gridCol w:w="548"/>
        <w:gridCol w:w="674"/>
        <w:gridCol w:w="537"/>
        <w:gridCol w:w="660"/>
        <w:gridCol w:w="576"/>
        <w:gridCol w:w="707"/>
        <w:gridCol w:w="1128"/>
      </w:tblGrid>
      <w:tr w:rsidR="003C0CFF" w:rsidRPr="003C0CFF" w:rsidTr="003C0CFF">
        <w:tc>
          <w:tcPr>
            <w:tcW w:w="153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Конструктивно-светотехнические схемы светильников</w:t>
            </w:r>
          </w:p>
        </w:tc>
        <w:tc>
          <w:tcPr>
            <w:tcW w:w="7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w:t>
            </w:r>
          </w:p>
        </w:tc>
        <w:tc>
          <w:tcPr>
            <w:tcW w:w="7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w:t>
            </w:r>
          </w:p>
        </w:tc>
        <w:tc>
          <w:tcPr>
            <w:tcW w:w="94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w:t>
            </w:r>
          </w:p>
        </w:tc>
        <w:tc>
          <w:tcPr>
            <w:tcW w:w="8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w:t>
            </w:r>
          </w:p>
        </w:tc>
        <w:tc>
          <w:tcPr>
            <w:tcW w:w="8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w:t>
            </w:r>
          </w:p>
        </w:tc>
        <w:tc>
          <w:tcPr>
            <w:tcW w:w="8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w:t>
            </w:r>
          </w:p>
        </w:tc>
      </w:tr>
      <w:tr w:rsidR="003C0CFF" w:rsidRPr="003C0CFF" w:rsidTr="003C0CFF">
        <w:tc>
          <w:tcPr>
            <w:tcW w:w="103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 разрядными источниками света (КЛЛ, НЛВД, МГЛ) и светодиодами</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w:t>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04ADFE0" wp14:editId="137B726A">
                  <wp:extent cx="999490" cy="797560"/>
                  <wp:effectExtent l="0" t="0" r="0" b="2540"/>
                  <wp:docPr id="95" name="Рисунок 95" descr="https://mobile.olimpoks.ru/Prepare/Doc/1035/5/f6b6ea45-8c63-4ce0-8046-f504baab01c2/i/8da0fb43-52f6-4682-838c-06930633d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mobile.olimpoks.ru/Prepare/Doc/1035/5/f6b6ea45-8c63-4ce0-8046-f504baab01c2/i/8da0fb43-52f6-4682-838c-06930633dfc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1E0FE6A" wp14:editId="2F8CDAF0">
                  <wp:extent cx="977900" cy="765810"/>
                  <wp:effectExtent l="0" t="0" r="0" b="0"/>
                  <wp:docPr id="94" name="Рисунок 94" descr="https://mobile.olimpoks.ru/Prepare/Doc/1035/5/f6b6ea45-8c63-4ce0-8046-f504baab01c2/i/dde710a7-b133-4e5b-8ec3-1b9d756c2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mobile.olimpoks.ru/Prepare/Doc/1035/5/f6b6ea45-8c63-4ce0-8046-f504baab01c2/i/dde710a7-b133-4e5b-8ec3-1b9d756c2ee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77900" cy="765810"/>
                          </a:xfrm>
                          <a:prstGeom prst="rect">
                            <a:avLst/>
                          </a:prstGeom>
                          <a:noFill/>
                          <a:ln>
                            <a:noFill/>
                          </a:ln>
                        </pic:spPr>
                      </pic:pic>
                    </a:graphicData>
                  </a:graphic>
                </wp:inline>
              </w:drawing>
            </w:r>
          </w:p>
        </w:tc>
        <w:tc>
          <w:tcPr>
            <w:tcW w:w="94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9B7E608" wp14:editId="2F009E45">
                  <wp:extent cx="1095375" cy="786765"/>
                  <wp:effectExtent l="0" t="0" r="9525" b="0"/>
                  <wp:docPr id="93" name="Рисунок 93" descr="https://mobile.olimpoks.ru/Prepare/Doc/1035/5/f6b6ea45-8c63-4ce0-8046-f504baab01c2/i/e79190ee-ec38-425b-ba0b-05c091868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mobile.olimpoks.ru/Prepare/Doc/1035/5/f6b6ea45-8c63-4ce0-8046-f504baab01c2/i/e79190ee-ec38-425b-ba0b-05c0918680c7.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95375" cy="786765"/>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5C47CFB" wp14:editId="1DFB80B4">
                  <wp:extent cx="882650" cy="680720"/>
                  <wp:effectExtent l="0" t="0" r="0" b="5080"/>
                  <wp:docPr id="92" name="Рисунок 92" descr="https://mobile.olimpoks.ru/Prepare/Doc/1035/5/f6b6ea45-8c63-4ce0-8046-f504baab01c2/i/17220817-6a3a-4f76-b4a7-fbe7b2002f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mobile.olimpoks.ru/Prepare/Doc/1035/5/f6b6ea45-8c63-4ce0-8046-f504baab01c2/i/17220817-6a3a-4f76-b4a7-fbe7b2002f2a.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82650" cy="680720"/>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48532DC" wp14:editId="14FD07FA">
                  <wp:extent cx="1010285" cy="605790"/>
                  <wp:effectExtent l="0" t="0" r="0" b="3810"/>
                  <wp:docPr id="91" name="Рисунок 91" descr="https://mobile.olimpoks.ru/Prepare/Doc/1035/5/f6b6ea45-8c63-4ce0-8046-f504baab01c2/i/0bcebe84-4fb6-4ff3-a27d-8d9b84308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mobile.olimpoks.ru/Prepare/Doc/1035/5/f6b6ea45-8c63-4ce0-8046-f504baab01c2/i/0bcebe84-4fb6-4ff3-a27d-8d9b84308795.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10285" cy="605790"/>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A27C46E" wp14:editId="72A79C28">
                  <wp:extent cx="1105535" cy="818515"/>
                  <wp:effectExtent l="0" t="0" r="0" b="635"/>
                  <wp:docPr id="90" name="Рисунок 90" descr="https://mobile.olimpoks.ru/Prepare/Doc/1035/5/f6b6ea45-8c63-4ce0-8046-f504baab01c2/i/afe10adc-9dd7-4f0b-9926-8b88e28a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mobile.olimpoks.ru/Prepare/Doc/1035/5/f6b6ea45-8c63-4ce0-8046-f504baab01c2/i/afe10adc-9dd7-4f0b-9926-8b88e28a102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05535" cy="818515"/>
                          </a:xfrm>
                          <a:prstGeom prst="rect">
                            <a:avLst/>
                          </a:prstGeom>
                          <a:noFill/>
                          <a:ln>
                            <a:noFill/>
                          </a:ln>
                        </pic:spPr>
                      </pic:pic>
                    </a:graphicData>
                  </a:graphic>
                </wp:inline>
              </w:drawing>
            </w:r>
          </w:p>
        </w:tc>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31E8F76" wp14:editId="66726F1E">
                  <wp:extent cx="553085" cy="786765"/>
                  <wp:effectExtent l="0" t="0" r="0" b="0"/>
                  <wp:docPr id="89" name="Рисунок 89" descr="https://mobile.olimpoks.ru/Prepare/Doc/1035/5/f6b6ea45-8c63-4ce0-8046-f504baab01c2/i/8d666e38-8a28-4874-8907-74e01fbaa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mobile.olimpoks.ru/Prepare/Doc/1035/5/f6b6ea45-8c63-4ce0-8046-f504baab01c2/i/8d666e38-8a28-4874-8907-74e01fbaa41d.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3085" cy="786765"/>
                          </a:xfrm>
                          <a:prstGeom prst="rect">
                            <a:avLst/>
                          </a:prstGeom>
                          <a:noFill/>
                          <a:ln>
                            <a:noFill/>
                          </a:ln>
                        </pic:spPr>
                      </pic:pic>
                    </a:graphicData>
                  </a:graphic>
                </wp:inline>
              </w:drawing>
            </w:r>
          </w:p>
        </w:tc>
      </w:tr>
      <w:tr w:rsidR="003C0CFF" w:rsidRPr="003C0CFF" w:rsidTr="003C0CFF">
        <w:tc>
          <w:tcPr>
            <w:tcW w:w="103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 люминесцентными лампами и светодиодами</w:t>
            </w: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F1DB627" wp14:editId="41E1D15B">
                  <wp:extent cx="1073785" cy="733425"/>
                  <wp:effectExtent l="0" t="0" r="0" b="9525"/>
                  <wp:docPr id="88" name="Рисунок 88" descr="https://mobile.olimpoks.ru/Prepare/Doc/1035/5/f6b6ea45-8c63-4ce0-8046-f504baab01c2/i/8c4e6e62-fc02-4689-9988-c9ee59d3e7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obile.olimpoks.ru/Prepare/Doc/1035/5/f6b6ea45-8c63-4ce0-8046-f504baab01c2/i/8c4e6e62-fc02-4689-9988-c9ee59d3e71e.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73785" cy="733425"/>
                          </a:xfrm>
                          <a:prstGeom prst="rect">
                            <a:avLst/>
                          </a:prstGeom>
                          <a:noFill/>
                          <a:ln>
                            <a:noFill/>
                          </a:ln>
                        </pic:spPr>
                      </pic:pic>
                    </a:graphicData>
                  </a:graphic>
                </wp:inline>
              </w:drawing>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F296C13" wp14:editId="4323CA7A">
                  <wp:extent cx="1073785" cy="690880"/>
                  <wp:effectExtent l="0" t="0" r="0" b="0"/>
                  <wp:docPr id="87" name="Рисунок 87" descr="https://mobile.olimpoks.ru/Prepare/Doc/1035/5/f6b6ea45-8c63-4ce0-8046-f504baab01c2/i/cb70c0ba-c77c-4728-8e27-bb47676a0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mobile.olimpoks.ru/Prepare/Doc/1035/5/f6b6ea45-8c63-4ce0-8046-f504baab01c2/i/cb70c0ba-c77c-4728-8e27-bb47676a0cc9.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73785" cy="690880"/>
                          </a:xfrm>
                          <a:prstGeom prst="rect">
                            <a:avLst/>
                          </a:prstGeom>
                          <a:noFill/>
                          <a:ln>
                            <a:noFill/>
                          </a:ln>
                        </pic:spPr>
                      </pic:pic>
                    </a:graphicData>
                  </a:graphic>
                </wp:inline>
              </w:drawing>
            </w:r>
          </w:p>
        </w:tc>
        <w:tc>
          <w:tcPr>
            <w:tcW w:w="94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F1B7F4A" wp14:editId="6CEF12F8">
                  <wp:extent cx="1020445" cy="690880"/>
                  <wp:effectExtent l="0" t="0" r="8255" b="0"/>
                  <wp:docPr id="86" name="Рисунок 86" descr="https://mobile.olimpoks.ru/Prepare/Doc/1035/5/f6b6ea45-8c63-4ce0-8046-f504baab01c2/i/7effb143-61e3-4a16-bb1b-2fdbe94af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mobile.olimpoks.ru/Prepare/Doc/1035/5/f6b6ea45-8c63-4ce0-8046-f504baab01c2/i/7effb143-61e3-4a16-bb1b-2fdbe94af95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20445" cy="690880"/>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AB7B32C" wp14:editId="64617B38">
                  <wp:extent cx="1010285" cy="701675"/>
                  <wp:effectExtent l="0" t="0" r="0" b="3175"/>
                  <wp:docPr id="85" name="Рисунок 85" descr="https://mobile.olimpoks.ru/Prepare/Doc/1035/5/f6b6ea45-8c63-4ce0-8046-f504baab01c2/i/906b929e-cd71-40f4-ab38-15660caec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mobile.olimpoks.ru/Prepare/Doc/1035/5/f6b6ea45-8c63-4ce0-8046-f504baab01c2/i/906b929e-cd71-40f4-ab38-15660caecee5.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10285" cy="701675"/>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AC10430" wp14:editId="29CA6E0B">
                  <wp:extent cx="1031240" cy="659130"/>
                  <wp:effectExtent l="0" t="0" r="0" b="7620"/>
                  <wp:docPr id="84" name="Рисунок 84" descr="https://mobile.olimpoks.ru/Prepare/Doc/1035/5/f6b6ea45-8c63-4ce0-8046-f504baab01c2/i/028bea97-50e1-4918-b80c-155a60ad2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mobile.olimpoks.ru/Prepare/Doc/1035/5/f6b6ea45-8c63-4ce0-8046-f504baab01c2/i/028bea97-50e1-4918-b80c-155a60ad2ab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1240" cy="659130"/>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5EC7635" wp14:editId="6B7FC3C4">
                  <wp:extent cx="1042035" cy="723265"/>
                  <wp:effectExtent l="0" t="0" r="5715" b="635"/>
                  <wp:docPr id="83" name="Рисунок 83" descr="https://mobile.olimpoks.ru/Prepare/Doc/1035/5/f6b6ea45-8c63-4ce0-8046-f504baab01c2/i/283310f6-cb44-4f02-95f5-d5cb7d997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mobile.olimpoks.ru/Prepare/Doc/1035/5/f6b6ea45-8c63-4ce0-8046-f504baab01c2/i/283310f6-cb44-4f02-95f5-d5cb7d9974e3.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42035" cy="723265"/>
                          </a:xfrm>
                          <a:prstGeom prst="rect">
                            <a:avLst/>
                          </a:prstGeom>
                          <a:noFill/>
                          <a:ln>
                            <a:noFill/>
                          </a:ln>
                        </pic:spPr>
                      </pic:pic>
                    </a:graphicData>
                  </a:graphic>
                </wp:inline>
              </w:drawing>
            </w:r>
          </w:p>
        </w:tc>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F86215A" wp14:editId="77BA49F1">
                  <wp:extent cx="627380" cy="690880"/>
                  <wp:effectExtent l="0" t="0" r="1270" b="0"/>
                  <wp:docPr id="82" name="Рисунок 82" descr="https://mobile.olimpoks.ru/Prepare/Doc/1035/5/f6b6ea45-8c63-4ce0-8046-f504baab01c2/i/4ceb2432-0fee-4c50-b5dc-da310c87e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mobile.olimpoks.ru/Prepare/Doc/1035/5/f6b6ea45-8c63-4ce0-8046-f504baab01c2/i/4ceb2432-0fee-4c50-b5dc-da310c87e24c.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7380" cy="690880"/>
                          </a:xfrm>
                          <a:prstGeom prst="rect">
                            <a:avLst/>
                          </a:prstGeom>
                          <a:noFill/>
                          <a:ln>
                            <a:noFill/>
                          </a:ln>
                        </pic:spPr>
                      </pic:pic>
                    </a:graphicData>
                  </a:graphic>
                </wp:inline>
              </w:drawing>
            </w:r>
          </w:p>
        </w:tc>
      </w:tr>
      <w:tr w:rsidR="003C0CFF" w:rsidRPr="003C0CFF" w:rsidTr="003C0CFF">
        <w:tc>
          <w:tcPr>
            <w:tcW w:w="103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0B390FF" wp14:editId="43CE5696">
                  <wp:extent cx="1062990" cy="659130"/>
                  <wp:effectExtent l="0" t="0" r="3810" b="7620"/>
                  <wp:docPr id="81" name="Рисунок 81" descr="https://mobile.olimpoks.ru/Prepare/Doc/1035/5/f6b6ea45-8c63-4ce0-8046-f504baab01c2/i/742228ab-a96c-49d8-a26c-aff9d1bb2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mobile.olimpoks.ru/Prepare/Doc/1035/5/f6b6ea45-8c63-4ce0-8046-f504baab01c2/i/742228ab-a96c-49d8-a26c-aff9d1bb2e7f.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62990" cy="659130"/>
                          </a:xfrm>
                          <a:prstGeom prst="rect">
                            <a:avLst/>
                          </a:prstGeom>
                          <a:noFill/>
                          <a:ln>
                            <a:noFill/>
                          </a:ln>
                        </pic:spPr>
                      </pic:pic>
                    </a:graphicData>
                  </a:graphic>
                </wp:inline>
              </w:drawing>
            </w:r>
          </w:p>
        </w:tc>
        <w:tc>
          <w:tcPr>
            <w:tcW w:w="73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DDC8B10" wp14:editId="70CFC518">
                  <wp:extent cx="1052830" cy="627380"/>
                  <wp:effectExtent l="0" t="0" r="0" b="1270"/>
                  <wp:docPr id="80" name="Рисунок 80" descr="https://mobile.olimpoks.ru/Prepare/Doc/1035/5/f6b6ea45-8c63-4ce0-8046-f504baab01c2/i/a4ecf847-6941-40be-b834-afb418049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mobile.olimpoks.ru/Prepare/Doc/1035/5/f6b6ea45-8c63-4ce0-8046-f504baab01c2/i/a4ecf847-6941-40be-b834-afb4180498fe.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52830" cy="627380"/>
                          </a:xfrm>
                          <a:prstGeom prst="rect">
                            <a:avLst/>
                          </a:prstGeom>
                          <a:noFill/>
                          <a:ln>
                            <a:noFill/>
                          </a:ln>
                        </pic:spPr>
                      </pic:pic>
                    </a:graphicData>
                  </a:graphic>
                </wp:inline>
              </w:drawing>
            </w:r>
          </w:p>
        </w:tc>
        <w:tc>
          <w:tcPr>
            <w:tcW w:w="945" w:type="dxa"/>
            <w:gridSpan w:val="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DC91337" wp14:editId="55F31B97">
                  <wp:extent cx="1062990" cy="605790"/>
                  <wp:effectExtent l="0" t="0" r="3810" b="3810"/>
                  <wp:docPr id="79" name="Рисунок 79" descr="https://mobile.olimpoks.ru/Prepare/Doc/1035/5/f6b6ea45-8c63-4ce0-8046-f504baab01c2/i/828a45a0-f49e-45e5-9ca2-0565deb35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mobile.olimpoks.ru/Prepare/Doc/1035/5/f6b6ea45-8c63-4ce0-8046-f504baab01c2/i/828a45a0-f49e-45e5-9ca2-0565deb352ab.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62990" cy="605790"/>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A765E5F" wp14:editId="5A0F5FA4">
                  <wp:extent cx="1052830" cy="563245"/>
                  <wp:effectExtent l="0" t="0" r="0" b="8255"/>
                  <wp:docPr id="78" name="Рисунок 78" descr="https://mobile.olimpoks.ru/Prepare/Doc/1035/5/f6b6ea45-8c63-4ce0-8046-f504baab01c2/i/d29302b8-ab9d-49c9-a7a1-da8856a96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mobile.olimpoks.ru/Prepare/Doc/1035/5/f6b6ea45-8c63-4ce0-8046-f504baab01c2/i/d29302b8-ab9d-49c9-a7a1-da8856a9694b.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52830" cy="563245"/>
                          </a:xfrm>
                          <a:prstGeom prst="rect">
                            <a:avLst/>
                          </a:prstGeom>
                          <a:noFill/>
                          <a:ln>
                            <a:noFill/>
                          </a:ln>
                        </pic:spPr>
                      </pic:pic>
                    </a:graphicData>
                  </a:graphic>
                </wp:inline>
              </w:drawing>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84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5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AD4FD75" wp14:editId="780C340A">
                  <wp:extent cx="967740" cy="605790"/>
                  <wp:effectExtent l="0" t="0" r="3810" b="3810"/>
                  <wp:docPr id="77" name="Рисунок 77" descr="https://mobile.olimpoks.ru/Prepare/Doc/1035/5/f6b6ea45-8c63-4ce0-8046-f504baab01c2/i/4ac73116-16d4-4f64-9066-f44e850c1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mobile.olimpoks.ru/Prepare/Doc/1035/5/f6b6ea45-8c63-4ce0-8046-f504baab01c2/i/4ac73116-16d4-4f64-9066-f44e850c10a1.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67740" cy="605790"/>
                          </a:xfrm>
                          <a:prstGeom prst="rect">
                            <a:avLst/>
                          </a:prstGeom>
                          <a:noFill/>
                          <a:ln>
                            <a:noFill/>
                          </a:ln>
                        </pic:spPr>
                      </pic:pic>
                    </a:graphicData>
                  </a:graphic>
                </wp:inline>
              </w:drawing>
            </w:r>
          </w:p>
        </w:tc>
      </w:tr>
      <w:tr w:rsidR="003C0CFF" w:rsidRPr="003C0CFF" w:rsidTr="003C0CFF">
        <w:tc>
          <w:tcPr>
            <w:tcW w:w="153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Группа твердости светотехнических материалов (покрытий)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w:t>
            </w:r>
          </w:p>
        </w:tc>
      </w:tr>
      <w:tr w:rsidR="003C0CFF" w:rsidRPr="003C0CFF" w:rsidTr="003C0CFF">
        <w:tc>
          <w:tcPr>
            <w:tcW w:w="153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Эксплуатационная группа светильников</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5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r>
      <w:tr w:rsidR="003C0CFF" w:rsidRPr="003C0CFF" w:rsidTr="003C0CFF">
        <w:tc>
          <w:tcPr>
            <w:tcW w:w="7110" w:type="dxa"/>
            <w:gridSpan w:val="18"/>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принятые сокращения: КЛЛ - компактная люминесцентная лампа; НЛВД - натриевая лампа высокого давления; МГЛ - металлогалогенная лампа.</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Д.2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Группы твердости светотехнических материалов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0"/>
        <w:gridCol w:w="3263"/>
        <w:gridCol w:w="2460"/>
      </w:tblGrid>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Вид материала или покрытия</w:t>
            </w:r>
          </w:p>
        </w:tc>
        <w:tc>
          <w:tcPr>
            <w:tcW w:w="492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Материалы (или покрытия) отражателей или рассеивателей</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отражающие свет</w:t>
            </w:r>
          </w:p>
        </w:tc>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пропускающие свет</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 - твердые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Покрытие силикатной эмалью</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Силикатное стекло</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 - средней твердости</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Эпоксидно-порошковое покрытие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Поликарбонат</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Полиметилметакрилат</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Покрытие нитроэмалью НЦ-25 по ГОСТ 5406</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Поливинилхлоридная жесткая пленка</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Эмалевое покрытие МЛ-12 по ГОСТ 9754</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Альзак-алюминий, защищенный слоем жидкого стекла</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 - мягкое</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Эмалевое покрытие МЛ-242 по ГОСТ 10982</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Полиэтилен высокого давления</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Полистирол</w:t>
            </w: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Эмалевое покрытие АК-11022</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Покрытие акриловой эмалью</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24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Алюминий, распыленный в вакууме, с защитой лаком</w:t>
            </w:r>
          </w:p>
        </w:tc>
        <w:tc>
          <w:tcPr>
            <w:tcW w:w="24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Е. ГРУППЫ АДМИНИСТРАТИВНЫХ РАЙОНОВ ПО РЕСУРСАМ СВЕТОВОГО КЛИМАТА</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Е.1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46"/>
        <w:gridCol w:w="3075"/>
      </w:tblGrid>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Номер группы административных районов, N</w:t>
            </w:r>
          </w:p>
        </w:tc>
        <w:tc>
          <w:tcPr>
            <w:tcW w:w="30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Административный район</w:t>
            </w:r>
          </w:p>
        </w:tc>
      </w:tr>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0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Владимирская, Калужская области, Камчатский край, Кемеровская область, Красноярский край (севернее 63° с.ш.), Курганская, Московская области, г. Москва, Нижегородская, Новосибирская области, Пермский край, Рязанская область, Республика Башкортостан, Республика Марий Эл, Республика Мордовия, Республика Татарстан (Татарстан), Республика Саха (Якутия) (севернее 63° с.ш.), Свердловская, Смоленская, Тульская, Тюменская области, Удмуртская Республика, Хабаровский край (севернее 55° с.ш.), Челябинская область, Чувашская Республика - Чувашия, Чукотский автономный округ</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30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Белгородская, Брянская, Волгоградская, Воронежская области, Еврейская автономная область, Забайкальский край, Кабардино-Балкарская Республика, Красноярский край (южнее 63° с.ш.), Иркутская, Курская, Липецкая, Магаданская, Оренбургская, Орловская, Пензенская области, Алтайский край, Республика Бурятия, Республика Ингушетия, Республика Коми, Республика Саха (Якутия) (южнее 63° с.ш.), Республика Северная Осетия - Алания, Республика Тыва, Республика Хакасия, Омская, Самарская, Саратовская, Сахалинская, Тамбовская, Томская, Ульяновская области, Хабаровский край (южнее 55° с.ш.), Ханты-Мансийский автономный округ - Югра, Чеченская Республика</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30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Вологодская, Ивановская, Калининградская, Кировская, Костромская, Ленинградская области, Ненецкий автономный округ, Новгородская, Псковская области, Республика Карелия, г. Санкт-Петербург, Тверская область, Ямало-Ненецкий автономный округ, Ярославская область</w:t>
            </w:r>
          </w:p>
        </w:tc>
      </w:tr>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30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Архангельская, Мурманская области</w:t>
            </w:r>
          </w:p>
        </w:tc>
      </w:tr>
      <w:tr w:rsidR="003C0CFF" w:rsidRPr="003C0CFF" w:rsidTr="003C0CFF">
        <w:tc>
          <w:tcPr>
            <w:tcW w:w="6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30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Астраханская, Амурская области, Карачаево-Черкесская Республика, Краснодарский край, Приморский край, Республика Адыгея, Республика Дагестан, Республика Калмыкия, Республика Крым, Ростовская область, г. Севастополь, Ставропольский край</w:t>
            </w:r>
          </w:p>
        </w:tc>
      </w:tr>
      <w:tr w:rsidR="003C0CFF" w:rsidRPr="003C0CFF" w:rsidTr="003C0CFF">
        <w:tc>
          <w:tcPr>
            <w:tcW w:w="3750" w:type="dxa"/>
            <w:gridSpan w:val="2"/>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административные районы Российской Федерации объединены в группы по ресурсам светового климата по критерию суммарного количества освещенности, поступающей в помещение в течение года.</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Ж. ЯРКОСТНЫЕ ЗОНЫ ТОННЕЛЯ В ДНЕВНОМ РЕЖИМЕ ОСВЕЩЕНИЯ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 В дневном режиме для облегчения зрительной адаптации водителей при въезде в тоннель должен быть обеспечен плавный переход от естественного освещения к существенно более низкому искусственному освещению основной части тоннеля, а также обратный переход при выезде из него. С этой целью в тоннеле выделяют четыре яркостные зоны: пороговую, переходную, внутреннюю и выездную, а перед въездным порталом - подъездную зону в соответствии с рисунком Ж.1. Яркостный режим и длину каждой зоны назначают с учетом проектной скорости и интенсивности движения транспорта, длины тоннеля, его кривизны в плане и профиле, ориентации въездного портала относительно сторон света и условий его обзора.</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73548DD" wp14:editId="2239090C">
            <wp:extent cx="6517640" cy="4465955"/>
            <wp:effectExtent l="0" t="0" r="0" b="0"/>
            <wp:docPr id="76" name="Рисунок 76" descr="https://mobile.olimpoks.ru/Prepare/Doc/1035/5/f6b6ea45-8c63-4ce0-8046-f504baab01c2/i/dc4b77fb-ded8-479a-9e5d-2d58db616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mobile.olimpoks.ru/Prepare/Doc/1035/5/f6b6ea45-8c63-4ce0-8046-f504baab01c2/i/dc4b77fb-ded8-479a-9e5d-2d58db616b78.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17640" cy="446595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Ж.1. Яркостные зоны тоннеля в дневном режиме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11CE522" wp14:editId="4C8EFFAD">
            <wp:extent cx="4359275" cy="2924175"/>
            <wp:effectExtent l="0" t="0" r="3175" b="9525"/>
            <wp:docPr id="75" name="Рисунок 75" descr="https://mobile.olimpoks.ru/Prepare/Doc/1035/5/f6b6ea45-8c63-4ce0-8046-f504baab01c2/i/397e79a1-2ce7-4c92-8ef4-634c045502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mobile.olimpoks.ru/Prepare/Doc/1035/5/f6b6ea45-8c63-4ce0-8046-f504baab01c2/i/397e79a1-2ce7-4c92-8ef4-634c045502fe.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59275" cy="2924175"/>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Ж.2. Вид на въездной портал с расстояния безопасного торможения.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Пунктирным кругом помечено 20-градусное поле адаптации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 Значение яркости адаптации в подъездной зоне тоннеля </w:t>
      </w:r>
      <w:r w:rsidRPr="003C0CFF">
        <w:rPr>
          <w:rFonts w:eastAsia="Times New Roman" w:cstheme="minorHAnsi"/>
          <w:noProof/>
          <w:color w:val="000000" w:themeColor="text1"/>
          <w:sz w:val="24"/>
          <w:szCs w:val="24"/>
          <w:lang w:eastAsia="ru-RU"/>
        </w:rPr>
        <w:drawing>
          <wp:inline distT="0" distB="0" distL="0" distR="0" wp14:anchorId="24F35DC7" wp14:editId="276156A3">
            <wp:extent cx="329565" cy="255270"/>
            <wp:effectExtent l="0" t="0" r="0" b="0"/>
            <wp:docPr id="74" name="Рисунок 74"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определяется для условий, наихудших с точки зрения переадаптации, то есть для яркого солнечного дня. Для существующего тоннеля (например, при его реконструкции) значение </w:t>
      </w:r>
      <w:r w:rsidRPr="003C0CFF">
        <w:rPr>
          <w:rFonts w:eastAsia="Times New Roman" w:cstheme="minorHAnsi"/>
          <w:noProof/>
          <w:color w:val="000000" w:themeColor="text1"/>
          <w:sz w:val="24"/>
          <w:szCs w:val="24"/>
          <w:lang w:eastAsia="ru-RU"/>
        </w:rPr>
        <w:drawing>
          <wp:inline distT="0" distB="0" distL="0" distR="0" wp14:anchorId="5C457FA8" wp14:editId="713F4511">
            <wp:extent cx="329565" cy="255270"/>
            <wp:effectExtent l="0" t="0" r="0" b="0"/>
            <wp:docPr id="73" name="Рисунок 73"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может быть получено путем фотометрирования въездного портала при указанных условиях с помощью яркомера, имеющего 20-градусное поле измерения.</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Ж.3. При отсутствии экспериментальных исходных данных для нахождения значения </w:t>
      </w:r>
      <w:r w:rsidRPr="003C0CFF">
        <w:rPr>
          <w:rFonts w:eastAsia="Times New Roman" w:cstheme="minorHAnsi"/>
          <w:noProof/>
          <w:color w:val="000000" w:themeColor="text1"/>
          <w:sz w:val="24"/>
          <w:szCs w:val="24"/>
          <w:lang w:eastAsia="ru-RU"/>
        </w:rPr>
        <w:drawing>
          <wp:inline distT="0" distB="0" distL="0" distR="0" wp14:anchorId="234992BE" wp14:editId="588F3659">
            <wp:extent cx="329565" cy="255270"/>
            <wp:effectExtent l="0" t="0" r="0" b="0"/>
            <wp:docPr id="72" name="Рисунок 72"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следует пользоваться формулой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924DE6F" wp14:editId="66760397">
            <wp:extent cx="329565" cy="255270"/>
            <wp:effectExtent l="0" t="0" r="0" b="0"/>
            <wp:docPr id="71" name="Рисунок 71" descr="https://mobile.olimpoks.ru/Prepare/Doc/1035/5/f6b6ea45-8c63-4ce0-8046-f504baab01c2/i/56b98d3b-0d1e-4620-a3e1-971a2001b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mobile.olimpoks.ru/Prepare/Doc/1035/5/f6b6ea45-8c63-4ce0-8046-f504baab01c2/i/56b98d3b-0d1e-4620-a3e1-971a2001bf8c.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9565"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5874ABB2" wp14:editId="0EEB9E77">
            <wp:extent cx="201930" cy="191135"/>
            <wp:effectExtent l="0" t="0" r="7620" b="0"/>
            <wp:docPr id="70" name="Рисунок 70" descr="https://mobile.olimpoks.ru/Prepare/Doc/1035/5/f6b6ea45-8c63-4ce0-8046-f504baab01c2/i/b98c8fd6-f1a6-4c1e-8f44-3a43fa85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obile.olimpoks.ru/Prepare/Doc/1035/5/f6b6ea45-8c63-4ce0-8046-f504baab01c2/i/b98c8fd6-f1a6-4c1e-8f44-3a43fa85e149.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3C0CFF">
        <w:rPr>
          <w:rFonts w:eastAsia="Times New Roman" w:cstheme="minorHAnsi"/>
          <w:noProof/>
          <w:color w:val="000000" w:themeColor="text1"/>
          <w:sz w:val="24"/>
          <w:szCs w:val="24"/>
          <w:lang w:eastAsia="ru-RU"/>
        </w:rPr>
        <w:drawing>
          <wp:inline distT="0" distB="0" distL="0" distR="0" wp14:anchorId="002AE3B2" wp14:editId="086DDA71">
            <wp:extent cx="223520" cy="201930"/>
            <wp:effectExtent l="0" t="0" r="5080" b="7620"/>
            <wp:docPr id="69" name="Рисунок 69" descr="https://mobile.olimpoks.ru/Prepare/Doc/1035/5/f6b6ea45-8c63-4ce0-8046-f504baab01c2/i/ba7cdf7f-8e0b-4098-9e06-b81b40706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obile.olimpoks.ru/Prepare/Doc/1035/5/f6b6ea45-8c63-4ce0-8046-f504baab01c2/i/ba7cdf7f-8e0b-4098-9e06-b81b4070634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7961CC0F" wp14:editId="37DE4DB5">
            <wp:extent cx="201930" cy="201930"/>
            <wp:effectExtent l="0" t="0" r="7620" b="7620"/>
            <wp:docPr id="68" name="Рисунок 68" descr="https://mobile.olimpoks.ru/Prepare/Doc/1035/5/f6b6ea45-8c63-4ce0-8046-f504baab01c2/i/e0426a4d-a561-4b1c-b4e2-e32c40414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obile.olimpoks.ru/Prepare/Doc/1035/5/f6b6ea45-8c63-4ce0-8046-f504baab01c2/i/e0426a4d-a561-4b1c-b4e2-e32c4041412d.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3C0CFF">
        <w:rPr>
          <w:rFonts w:eastAsia="Times New Roman" w:cstheme="minorHAnsi"/>
          <w:noProof/>
          <w:color w:val="000000" w:themeColor="text1"/>
          <w:sz w:val="24"/>
          <w:szCs w:val="24"/>
          <w:lang w:eastAsia="ru-RU"/>
        </w:rPr>
        <w:drawing>
          <wp:inline distT="0" distB="0" distL="0" distR="0" wp14:anchorId="6657E375" wp14:editId="54BDDD03">
            <wp:extent cx="233680" cy="255270"/>
            <wp:effectExtent l="0" t="0" r="0" b="0"/>
            <wp:docPr id="67" name="Рисунок 67" descr="https://mobile.olimpoks.ru/Prepare/Doc/1035/5/f6b6ea45-8c63-4ce0-8046-f504baab01c2/i/ef034d35-5898-4d44-b65c-8548b1438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obile.olimpoks.ru/Prepare/Doc/1035/5/f6b6ea45-8c63-4ce0-8046-f504baab01c2/i/ef034d35-5898-4d44-b65c-8548b1438d2f.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w:t>
      </w:r>
      <w:r w:rsidRPr="003C0CFF">
        <w:rPr>
          <w:rFonts w:eastAsia="Times New Roman" w:cstheme="minorHAnsi"/>
          <w:noProof/>
          <w:color w:val="000000" w:themeColor="text1"/>
          <w:sz w:val="24"/>
          <w:szCs w:val="24"/>
          <w:lang w:eastAsia="ru-RU"/>
        </w:rPr>
        <w:drawing>
          <wp:inline distT="0" distB="0" distL="0" distR="0" wp14:anchorId="12D4B04F" wp14:editId="047C6F9D">
            <wp:extent cx="191135" cy="276225"/>
            <wp:effectExtent l="0" t="0" r="0" b="9525"/>
            <wp:docPr id="66" name="Рисунок 66" descr="https://mobile.olimpoks.ru/Prepare/Doc/1035/5/f6b6ea45-8c63-4ce0-8046-f504baab01c2/i/46b634e2-0d1e-4ae3-9f8c-e83789d5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obile.olimpoks.ru/Prepare/Doc/1035/5/f6b6ea45-8c63-4ce0-8046-f504baab01c2/i/46b634e2-0d1e-4ae3-9f8c-e83789d5358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1135" cy="276225"/>
                    </a:xfrm>
                    <a:prstGeom prst="rect">
                      <a:avLst/>
                    </a:prstGeom>
                    <a:noFill/>
                    <a:ln>
                      <a:noFill/>
                    </a:ln>
                  </pic:spPr>
                </pic:pic>
              </a:graphicData>
            </a:graphic>
          </wp:inline>
        </w:drawing>
      </w:r>
      <w:r w:rsidRPr="003C0CFF">
        <w:rPr>
          <w:rFonts w:eastAsia="Times New Roman" w:cstheme="minorHAnsi"/>
          <w:noProof/>
          <w:color w:val="000000" w:themeColor="text1"/>
          <w:sz w:val="24"/>
          <w:szCs w:val="24"/>
          <w:lang w:eastAsia="ru-RU"/>
        </w:rPr>
        <w:drawing>
          <wp:inline distT="0" distB="0" distL="0" distR="0" wp14:anchorId="34D29441" wp14:editId="0D8E60A0">
            <wp:extent cx="255270" cy="233680"/>
            <wp:effectExtent l="0" t="0" r="0" b="0"/>
            <wp:docPr id="65" name="Рисунок 65" descr="https://mobile.olimpoks.ru/Prepare/Doc/1035/5/f6b6ea45-8c63-4ce0-8046-f504baab01c2/i/77739cea-746f-43fa-93b5-f103af54d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obile.olimpoks.ru/Prepare/Doc/1035/5/f6b6ea45-8c63-4ce0-8046-f504baab01c2/i/77739cea-746f-43fa-93b5-f103af54d90c.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(Ж.1)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2A1D99E4" wp14:editId="4CA58968">
            <wp:extent cx="201930" cy="191135"/>
            <wp:effectExtent l="0" t="0" r="7620" b="0"/>
            <wp:docPr id="64" name="Рисунок 64" descr="https://mobile.olimpoks.ru/Prepare/Doc/1035/5/f6b6ea45-8c63-4ce0-8046-f504baab01c2/i/b98c8fd6-f1a6-4c1e-8f44-3a43fa85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mobile.olimpoks.ru/Prepare/Doc/1035/5/f6b6ea45-8c63-4ce0-8046-f504baab01c2/i/b98c8fd6-f1a6-4c1e-8f44-3a43fa85e149.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059542DC" wp14:editId="4A32B0DD">
            <wp:extent cx="201930" cy="201930"/>
            <wp:effectExtent l="0" t="0" r="7620" b="7620"/>
            <wp:docPr id="63" name="Рисунок 63" descr="https://mobile.olimpoks.ru/Prepare/Doc/1035/5/f6b6ea45-8c63-4ce0-8046-f504baab01c2/i/e0426a4d-a561-4b1c-b4e2-e32c40414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mobile.olimpoks.ru/Prepare/Doc/1035/5/f6b6ea45-8c63-4ce0-8046-f504baab01c2/i/e0426a4d-a561-4b1c-b4e2-e32c4041412d.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15B7D7F1" wp14:editId="48E4013B">
            <wp:extent cx="191135" cy="276225"/>
            <wp:effectExtent l="0" t="0" r="0" b="9525"/>
            <wp:docPr id="62" name="Рисунок 62" descr="https://mobile.olimpoks.ru/Prepare/Doc/1035/5/f6b6ea45-8c63-4ce0-8046-f504baab01c2/i/46b634e2-0d1e-4ae3-9f8c-e83789d5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mobile.olimpoks.ru/Prepare/Doc/1035/5/f6b6ea45-8c63-4ce0-8046-f504baab01c2/i/46b634e2-0d1e-4ae3-9f8c-e83789d5358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1135" cy="2762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доли площади небосвода, дорожного полотна и окружения портала соответственно в поле адаптации;</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E10159D" wp14:editId="7A1A186D">
            <wp:extent cx="223520" cy="201930"/>
            <wp:effectExtent l="0" t="0" r="5080" b="7620"/>
            <wp:docPr id="61" name="Рисунок 61" descr="https://mobile.olimpoks.ru/Prepare/Doc/1035/5/f6b6ea45-8c63-4ce0-8046-f504baab01c2/i/ba7cdf7f-8e0b-4098-9e06-b81b40706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mobile.olimpoks.ru/Prepare/Doc/1035/5/f6b6ea45-8c63-4ce0-8046-f504baab01c2/i/ba7cdf7f-8e0b-4098-9e06-b81b4070634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5627F91E" wp14:editId="568CE6EA">
            <wp:extent cx="233680" cy="255270"/>
            <wp:effectExtent l="0" t="0" r="0" b="0"/>
            <wp:docPr id="60" name="Рисунок 60" descr="https://mobile.olimpoks.ru/Prepare/Doc/1035/5/f6b6ea45-8c63-4ce0-8046-f504baab01c2/i/ef034d35-5898-4d44-b65c-8548b1438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mobile.olimpoks.ru/Prepare/Doc/1035/5/f6b6ea45-8c63-4ce0-8046-f504baab01c2/i/ef034d35-5898-4d44-b65c-8548b1438d2f.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768371E0" wp14:editId="2BB49A88">
            <wp:extent cx="255270" cy="233680"/>
            <wp:effectExtent l="0" t="0" r="0" b="0"/>
            <wp:docPr id="59" name="Рисунок 59" descr="https://mobile.olimpoks.ru/Prepare/Doc/1035/5/f6b6ea45-8c63-4ce0-8046-f504baab01c2/i/77739cea-746f-43fa-93b5-f103af54d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mobile.olimpoks.ru/Prepare/Doc/1035/5/f6b6ea45-8c63-4ce0-8046-f504baab01c2/i/77739cea-746f-43fa-93b5-f103af54d90c.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их средние яркости, ориентировочные значения которых приведены в таблице Ж.1 в зависимости от ориентации въездного портала относительно сторон света.</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Ж.1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Яркость участков поля адаптации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45"/>
        <w:gridCol w:w="1845"/>
        <w:gridCol w:w="1845"/>
        <w:gridCol w:w="1845"/>
      </w:tblGrid>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Направление движения при въезде</w:t>
            </w:r>
          </w:p>
        </w:tc>
        <w:tc>
          <w:tcPr>
            <w:tcW w:w="5535"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Значения яркости участков поля адаптации, ккд/м²</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небосвода </w:t>
            </w:r>
            <w:r w:rsidRPr="003C0CFF">
              <w:rPr>
                <w:rFonts w:eastAsia="Times New Roman" w:cstheme="minorHAnsi"/>
                <w:noProof/>
                <w:color w:val="000000" w:themeColor="text1"/>
                <w:sz w:val="24"/>
                <w:szCs w:val="24"/>
                <w:lang w:eastAsia="ru-RU"/>
              </w:rPr>
              <w:drawing>
                <wp:inline distT="0" distB="0" distL="0" distR="0" wp14:anchorId="4A992C7F" wp14:editId="714CDCD9">
                  <wp:extent cx="223520" cy="201930"/>
                  <wp:effectExtent l="0" t="0" r="5080" b="7620"/>
                  <wp:docPr id="58" name="Рисунок 58" descr="https://mobile.olimpoks.ru/Prepare/Doc/1035/5/f6b6ea45-8c63-4ce0-8046-f504baab01c2/i/ba7cdf7f-8e0b-4098-9e06-b81b40706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mobile.olimpoks.ru/Prepare/Doc/1035/5/f6b6ea45-8c63-4ce0-8046-f504baab01c2/i/ba7cdf7f-8e0b-4098-9e06-b81b4070634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дорожного полотна </w:t>
            </w:r>
            <w:r w:rsidRPr="003C0CFF">
              <w:rPr>
                <w:rFonts w:eastAsia="Times New Roman" w:cstheme="minorHAnsi"/>
                <w:noProof/>
                <w:color w:val="000000" w:themeColor="text1"/>
                <w:sz w:val="24"/>
                <w:szCs w:val="24"/>
                <w:lang w:eastAsia="ru-RU"/>
              </w:rPr>
              <w:drawing>
                <wp:inline distT="0" distB="0" distL="0" distR="0" wp14:anchorId="2CC1736F" wp14:editId="147633E1">
                  <wp:extent cx="233680" cy="255270"/>
                  <wp:effectExtent l="0" t="0" r="0" b="0"/>
                  <wp:docPr id="57" name="Рисунок 57" descr="https://mobile.olimpoks.ru/Prepare/Doc/1035/5/f6b6ea45-8c63-4ce0-8046-f504baab01c2/i/ef034d35-5898-4d44-b65c-8548b1438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mobile.olimpoks.ru/Prepare/Doc/1035/5/f6b6ea45-8c63-4ce0-8046-f504baab01c2/i/ef034d35-5898-4d44-b65c-8548b1438d2f.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680" cy="255270"/>
                          </a:xfrm>
                          <a:prstGeom prst="rect">
                            <a:avLst/>
                          </a:prstGeom>
                          <a:noFill/>
                          <a:ln>
                            <a:noFill/>
                          </a:ln>
                        </pic:spPr>
                      </pic:pic>
                    </a:graphicData>
                  </a:graphic>
                </wp:inline>
              </w:drawing>
            </w:r>
          </w:p>
        </w:tc>
        <w:tc>
          <w:tcPr>
            <w:tcW w:w="184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окружения портала </w:t>
            </w:r>
            <w:r w:rsidRPr="003C0CFF">
              <w:rPr>
                <w:rFonts w:eastAsia="Times New Roman" w:cstheme="minorHAnsi"/>
                <w:noProof/>
                <w:color w:val="000000" w:themeColor="text1"/>
                <w:sz w:val="24"/>
                <w:szCs w:val="24"/>
                <w:lang w:eastAsia="ru-RU"/>
              </w:rPr>
              <w:drawing>
                <wp:inline distT="0" distB="0" distL="0" distR="0" wp14:anchorId="15B10E51" wp14:editId="447EE928">
                  <wp:extent cx="255270" cy="233680"/>
                  <wp:effectExtent l="0" t="0" r="0" b="0"/>
                  <wp:docPr id="56" name="Рисунок 56" descr="https://mobile.olimpoks.ru/Prepare/Doc/1035/5/f6b6ea45-8c63-4ce0-8046-f504baab01c2/i/77739cea-746f-43fa-93b5-f103af54d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mobile.olimpoks.ru/Prepare/Doc/1035/5/f6b6ea45-8c63-4ce0-8046-f504baab01c2/i/77739cea-746f-43fa-93b5-f103af54d90c.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 север</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 восток или запад</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r>
      <w:tr w:rsidR="003C0CFF" w:rsidRPr="003C0CFF" w:rsidTr="003C0CFF">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 юг</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184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r>
      <w:tr w:rsidR="003C0CFF" w:rsidRPr="003C0CFF" w:rsidTr="003C0CFF">
        <w:tc>
          <w:tcPr>
            <w:tcW w:w="7380" w:type="dxa"/>
            <w:gridSpan w:val="4"/>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для промежуточных направлений значения яркостей соответствующих поверхностей в поле адаптации определяются путем интерполирования табличных значений.</w:t>
            </w:r>
          </w:p>
        </w:tc>
      </w:tr>
    </w:tbl>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Ж.4. Кривая продольного спада яркости дорожного покрытия переходной зоны </w:t>
      </w:r>
      <w:r w:rsidRPr="003C0CFF">
        <w:rPr>
          <w:rFonts w:eastAsia="Times New Roman" w:cstheme="minorHAnsi"/>
          <w:noProof/>
          <w:color w:val="000000" w:themeColor="text1"/>
          <w:sz w:val="24"/>
          <w:szCs w:val="24"/>
          <w:lang w:eastAsia="ru-RU"/>
        </w:rPr>
        <w:drawing>
          <wp:inline distT="0" distB="0" distL="0" distR="0" wp14:anchorId="53C3720E" wp14:editId="0BFB6AB7">
            <wp:extent cx="499745" cy="446405"/>
            <wp:effectExtent l="0" t="0" r="0" b="0"/>
            <wp:docPr id="55" name="Рисунок 55"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выраженная в процентах относительно средней яркости дорожного покрытия первой половины пороговой зоны </w:t>
      </w:r>
      <w:r w:rsidRPr="003C0CFF">
        <w:rPr>
          <w:rFonts w:eastAsia="Times New Roman" w:cstheme="minorHAnsi"/>
          <w:noProof/>
          <w:color w:val="000000" w:themeColor="text1"/>
          <w:sz w:val="24"/>
          <w:szCs w:val="24"/>
          <w:lang w:eastAsia="ru-RU"/>
        </w:rPr>
        <w:drawing>
          <wp:inline distT="0" distB="0" distL="0" distR="0" wp14:anchorId="4739A9F9" wp14:editId="0A3A97D7">
            <wp:extent cx="297815" cy="244475"/>
            <wp:effectExtent l="0" t="0" r="6985" b="3175"/>
            <wp:docPr id="54" name="Рисунок 54"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показанная на рисунке Ж.3, описывается формулой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4DFD98B" wp14:editId="1AA95315">
            <wp:extent cx="499745" cy="446405"/>
            <wp:effectExtent l="0" t="0" r="0" b="0"/>
            <wp:docPr id="53" name="Рисунок 53" descr="https://mobile.olimpoks.ru/Prepare/Doc/1035/5/f6b6ea45-8c63-4ce0-8046-f504baab01c2/i/1e70a16e-b727-48b6-b0e9-3fb15066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mobile.olimpoks.ru/Prepare/Doc/1035/5/f6b6ea45-8c63-4ce0-8046-f504baab01c2/i/1e70a16e-b727-48b6-b0e9-3fb15066e92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745" cy="44640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r w:rsidRPr="003C0CFF">
        <w:rPr>
          <w:rFonts w:eastAsia="Times New Roman" w:cstheme="minorHAnsi"/>
          <w:noProof/>
          <w:color w:val="000000" w:themeColor="text1"/>
          <w:sz w:val="24"/>
          <w:szCs w:val="24"/>
          <w:lang w:eastAsia="ru-RU"/>
        </w:rPr>
        <w:drawing>
          <wp:inline distT="0" distB="0" distL="0" distR="0" wp14:anchorId="6CE51F33" wp14:editId="2CEAC7D0">
            <wp:extent cx="297815" cy="244475"/>
            <wp:effectExtent l="0" t="0" r="6985" b="3175"/>
            <wp:docPr id="52" name="Рисунок 52" descr="https://mobile.olimpoks.ru/Prepare/Doc/1035/5/f6b6ea45-8c63-4ce0-8046-f504baab01c2/i/03eac96a-6c7f-4f6c-846d-f94d6dc6a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mobile.olimpoks.ru/Prepare/Doc/1035/5/f6b6ea45-8c63-4ce0-8046-f504baab01c2/i/03eac96a-6c7f-4f6c-846d-f94d6dc6aef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(3,6d/v + 1,9)ֿ ¹٬⁴·100, (Ж.2)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d - расстояние вглубь тоннеля от начала переходной зоны, м;</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 - скорость движения, км/ч.</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60039C6" wp14:editId="11B53826">
            <wp:extent cx="7548880" cy="6230620"/>
            <wp:effectExtent l="0" t="0" r="0" b="0"/>
            <wp:docPr id="51" name="Рисунок 51" descr="https://mobile.olimpoks.ru/Prepare/Doc/1035/5/f6b6ea45-8c63-4ce0-8046-f504baab01c2/i/73781de0-dd64-4b90-9f19-dc745ded3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mobile.olimpoks.ru/Prepare/Doc/1035/5/f6b6ea45-8c63-4ce0-8046-f504baab01c2/i/73781de0-dd64-4b90-9f19-dc745ded339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548880" cy="623062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Ж.3. Кривая спада яркости дорожного покрытия в переходной зоне.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Пунктиром показан пример ступенчатой аппроксимации данной кривой</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И. РЕКОМЕНДУЕМЫЕ ИСТОЧНИКИ СВЕТА ДЛЯ ПРОИЗВОДСТВЕННЫХ ПОМЕЩЕНИЙ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И.1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Рекомендуемые источники света при системе общего освещения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02"/>
        <w:gridCol w:w="1545"/>
        <w:gridCol w:w="1565"/>
        <w:gridCol w:w="1348"/>
        <w:gridCol w:w="1695"/>
      </w:tblGrid>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зрительной работы по требованиям к цветоразличению</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лк</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цветопередачи источников света </w:t>
            </w:r>
            <w:r w:rsidRPr="003C0CFF">
              <w:rPr>
                <w:rFonts w:eastAsia="Times New Roman" w:cstheme="minorHAnsi"/>
                <w:noProof/>
                <w:color w:val="000000" w:themeColor="text1"/>
                <w:sz w:val="24"/>
                <w:szCs w:val="24"/>
                <w:lang w:eastAsia="ru-RU"/>
              </w:rPr>
              <w:drawing>
                <wp:inline distT="0" distB="0" distL="0" distR="0" wp14:anchorId="7037CDC3" wp14:editId="27DDA861">
                  <wp:extent cx="553085" cy="436245"/>
                  <wp:effectExtent l="0" t="0" r="0" b="1905"/>
                  <wp:docPr id="50" name="Рисунок 50"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Диапазон цветовой температуры источников света </w:t>
            </w:r>
            <w:r w:rsidRPr="003C0CFF">
              <w:rPr>
                <w:rFonts w:eastAsia="Times New Roman" w:cstheme="minorHAnsi"/>
                <w:noProof/>
                <w:color w:val="000000" w:themeColor="text1"/>
                <w:sz w:val="24"/>
                <w:szCs w:val="24"/>
                <w:lang w:eastAsia="ru-RU"/>
              </w:rPr>
              <w:drawing>
                <wp:inline distT="0" distB="0" distL="0" distR="0" wp14:anchorId="7D91527F" wp14:editId="4B16DA5B">
                  <wp:extent cx="223520" cy="233680"/>
                  <wp:effectExtent l="0" t="0" r="5080" b="0"/>
                  <wp:docPr id="49" name="Рисунок 49"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Рекомендуемые источники света</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Контроль цвета с очень высокими требованиями к цветоразличению, качество цветопередачи отличное (контроль готовой продукции на швейных фабриках, тканей на текстильных фабриках, сортировка кожи, подбор красок для цветной печати и т. п.)</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 и более</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90 - 100</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5000 - 6500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ЛДЦ, 950 *, 965 *</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Сопоставление цветов с высокими требованиями к цветоразличению, качество цветопередачи отличное (ткачество, швейное производство, цветная печать и т. п.)</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 и более</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85 - 89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3000 - 6500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ЛТБЦЦ, ЛДЦ, 930 *, 940 *, 950 *, 965 *</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Различение цветных объектов при невысоких требованиях к цветоразличению, качество цветопередачи хорошее (сборка радиоаппаратуры, прядение, намотка проводов и т. п.)</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 и более</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4000 - 6000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200 до 300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830 *, МГЛ, КЛЛ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200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2700 - 3500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830 *, МГЛ, НЛВД + МГЛ, КЛЛ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цветопередаче отсутствуют, качество цветопередачи стандартное (механическая обработка металлов, пластмасс, сборка машин и инструмента и т. п.)</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 и более</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4000 - 6500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 740 *, 765 *, МГЛ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3500 - 5000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ЛХБ, 740 *, 765 *, МГЛ, НЛВД + МГЛ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200 до 300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735 *, МГЛ, НЛВД + МГЛ</w:t>
            </w:r>
          </w:p>
        </w:tc>
      </w:tr>
      <w:tr w:rsidR="003C0CFF" w:rsidRPr="003C0CFF" w:rsidTr="003C0CFF">
        <w:tc>
          <w:tcPr>
            <w:tcW w:w="108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200</w:t>
            </w:r>
          </w:p>
        </w:tc>
        <w:tc>
          <w:tcPr>
            <w:tcW w:w="40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50 - 59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2400 - 3500</w:t>
            </w:r>
          </w:p>
        </w:tc>
        <w:tc>
          <w:tcPr>
            <w:tcW w:w="11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 ЛБ, 730 *, 735 *, НЛВД, КЛЛ</w:t>
            </w:r>
          </w:p>
        </w:tc>
      </w:tr>
      <w:tr w:rsidR="003C0CFF" w:rsidRPr="003C0CFF" w:rsidTr="003C0CFF">
        <w:tc>
          <w:tcPr>
            <w:tcW w:w="3750" w:type="dxa"/>
            <w:gridSpan w:val="5"/>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Приведено обозначение по ГОСТ Р 54815, в котором первая цифра определяет индекс цветопередачи (в десятках </w:t>
            </w:r>
            <w:r w:rsidRPr="003C0CFF">
              <w:rPr>
                <w:rFonts w:eastAsia="Times New Roman" w:cstheme="minorHAnsi"/>
                <w:noProof/>
                <w:color w:val="000000" w:themeColor="text1"/>
                <w:sz w:val="24"/>
                <w:szCs w:val="24"/>
                <w:lang w:eastAsia="ru-RU"/>
              </w:rPr>
              <w:drawing>
                <wp:inline distT="0" distB="0" distL="0" distR="0" wp14:anchorId="46C3B797" wp14:editId="5D66F039">
                  <wp:extent cx="553085" cy="436245"/>
                  <wp:effectExtent l="0" t="0" r="0" b="1905"/>
                  <wp:docPr id="48" name="Рисунок 48"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а две последние - цветовую температуру (в сотнях кельвинов). Например, 765 означает </w:t>
            </w:r>
            <w:r w:rsidRPr="003C0CFF">
              <w:rPr>
                <w:rFonts w:eastAsia="Times New Roman" w:cstheme="minorHAnsi"/>
                <w:noProof/>
                <w:color w:val="000000" w:themeColor="text1"/>
                <w:sz w:val="24"/>
                <w:szCs w:val="24"/>
                <w:lang w:eastAsia="ru-RU"/>
              </w:rPr>
              <w:drawing>
                <wp:inline distT="0" distB="0" distL="0" distR="0" wp14:anchorId="511AA8C7" wp14:editId="06C9AD9E">
                  <wp:extent cx="553085" cy="436245"/>
                  <wp:effectExtent l="0" t="0" r="0" b="1905"/>
                  <wp:docPr id="47" name="Рисунок 47"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70, </w:t>
            </w:r>
            <w:r w:rsidRPr="003C0CFF">
              <w:rPr>
                <w:rFonts w:eastAsia="Times New Roman" w:cstheme="minorHAnsi"/>
                <w:noProof/>
                <w:color w:val="000000" w:themeColor="text1"/>
                <w:sz w:val="24"/>
                <w:szCs w:val="24"/>
                <w:lang w:eastAsia="ru-RU"/>
              </w:rPr>
              <w:drawing>
                <wp:inline distT="0" distB="0" distL="0" distR="0" wp14:anchorId="02163947" wp14:editId="29A01915">
                  <wp:extent cx="223520" cy="233680"/>
                  <wp:effectExtent l="0" t="0" r="5080" b="0"/>
                  <wp:docPr id="46" name="Рисунок 46"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6500 К.</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Прямое излучение ярких светодиодных источников света не должно попадать в поле зрения находящихся в помещении.</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И.2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Рекомендуемые источники света при системе комбинированного освещения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02"/>
        <w:gridCol w:w="1992"/>
        <w:gridCol w:w="764"/>
        <w:gridCol w:w="941"/>
        <w:gridCol w:w="764"/>
        <w:gridCol w:w="941"/>
        <w:gridCol w:w="764"/>
        <w:gridCol w:w="941"/>
      </w:tblGrid>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зрительной работы по требованиям к цветоразличению</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от общего освещения при системе комбинированного освещения, лк</w:t>
            </w:r>
          </w:p>
        </w:tc>
        <w:tc>
          <w:tcPr>
            <w:tcW w:w="49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цветопередачи источников света </w:t>
            </w:r>
            <w:r w:rsidRPr="003C0CFF">
              <w:rPr>
                <w:rFonts w:eastAsia="Times New Roman" w:cstheme="minorHAnsi"/>
                <w:noProof/>
                <w:color w:val="000000" w:themeColor="text1"/>
                <w:sz w:val="24"/>
                <w:szCs w:val="24"/>
                <w:lang w:eastAsia="ru-RU"/>
              </w:rPr>
              <w:drawing>
                <wp:inline distT="0" distB="0" distL="0" distR="0" wp14:anchorId="7DEF0E9F" wp14:editId="5710F25B">
                  <wp:extent cx="553085" cy="436245"/>
                  <wp:effectExtent l="0" t="0" r="0" b="1905"/>
                  <wp:docPr id="45" name="Рисунок 45"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tc>
        <w:tc>
          <w:tcPr>
            <w:tcW w:w="7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Диапазон цветовой температуры источников света </w:t>
            </w:r>
            <w:r w:rsidRPr="003C0CFF">
              <w:rPr>
                <w:rFonts w:eastAsia="Times New Roman" w:cstheme="minorHAnsi"/>
                <w:noProof/>
                <w:color w:val="000000" w:themeColor="text1"/>
                <w:sz w:val="24"/>
                <w:szCs w:val="24"/>
                <w:lang w:eastAsia="ru-RU"/>
              </w:rPr>
              <w:drawing>
                <wp:inline distT="0" distB="0" distL="0" distR="0" wp14:anchorId="402E6BFE" wp14:editId="4FF1CE6F">
                  <wp:extent cx="223520" cy="233680"/>
                  <wp:effectExtent l="0" t="0" r="5080" b="0"/>
                  <wp:docPr id="44" name="Рисунок 44"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w:t>
            </w:r>
          </w:p>
        </w:tc>
        <w:tc>
          <w:tcPr>
            <w:tcW w:w="108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Рекомендуемые источники света</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общего</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местного</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общего</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местного</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общего</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местного</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Контроль цвета с очень высокими требованиями к цветоразличению, качество цветопередачи отличное (контроль готовой продукции на швейных фабриках, тканей на текстильных фабриках, сортировка кожи, подбор красок для цветной печати и т. п.)</w:t>
            </w:r>
          </w:p>
        </w:tc>
        <w:tc>
          <w:tcPr>
            <w:tcW w:w="42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 и более</w:t>
            </w:r>
          </w:p>
        </w:tc>
        <w:tc>
          <w:tcPr>
            <w:tcW w:w="22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85 - 89</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90 - 100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5000 - 6500</w:t>
            </w:r>
          </w:p>
        </w:tc>
        <w:tc>
          <w:tcPr>
            <w:tcW w:w="37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5000 - 6500</w:t>
            </w:r>
          </w:p>
        </w:tc>
        <w:tc>
          <w:tcPr>
            <w:tcW w:w="5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ЛТБЦЦ, ЛДЦ, 930 *; 940 *; 950 *, 965 *</w:t>
            </w:r>
          </w:p>
        </w:tc>
        <w:tc>
          <w:tcPr>
            <w:tcW w:w="5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ЛДЦ, 950 *, 965 *</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Сопоставление цветов с высокими требованиями к цветоразличению, качество цветопередачи отличное (ткачество, швейное производство, цветная печать и т. п.)</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 и более</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85 - 89</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3000 - 6500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3000 - 6500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ЛТБЦЦ, ЛДЦ, 930 *, 940 *, 950 *, 965 *</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Различение цветных объектов при невысоких требованиях к цветоразличению, качество цветопередачи хорошее (сборка радиоаппаратуры, прядение, намотка проводов и т. п.)</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 и более</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4000 - 6000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200 до 300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330 *, МГЛ, КЛЛ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200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50 - 59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2700 - 3500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 ЛБ, 730 *, 735 *, МГЛ, КЛЛ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цветопередаче отсутствуют, качество цветопередачи стандартное (механическая обработка металлов, пластмасс, сборка машин и инструмента и т. п.)</w:t>
            </w: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 и более</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4000 - 6500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 740 *, 765 *, МГЛ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3500 - 5000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ЛХБ, 740 *, 765 *, МГЛ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200 до 300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735 *, МГЛ</w:t>
            </w:r>
          </w:p>
        </w:tc>
      </w:tr>
      <w:tr w:rsidR="003C0CFF" w:rsidRPr="003C0CFF" w:rsidTr="003C0CFF">
        <w:tc>
          <w:tcPr>
            <w:tcW w:w="9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42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200</w:t>
            </w:r>
          </w:p>
        </w:tc>
        <w:tc>
          <w:tcPr>
            <w:tcW w:w="22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50 - 59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2600 - 4500</w:t>
            </w:r>
          </w:p>
        </w:tc>
        <w:tc>
          <w:tcPr>
            <w:tcW w:w="37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2400 - 3500</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ЛБ, 730 *, МГЛ, НЛВД + МГЛ, КЛЛ</w:t>
            </w:r>
          </w:p>
        </w:tc>
        <w:tc>
          <w:tcPr>
            <w:tcW w:w="5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 ЛБ, 730 *, 735 *, КЛЛ</w:t>
            </w:r>
          </w:p>
        </w:tc>
      </w:tr>
      <w:tr w:rsidR="003C0CFF" w:rsidRPr="003C0CFF" w:rsidTr="003C0CFF">
        <w:tc>
          <w:tcPr>
            <w:tcW w:w="3750" w:type="dxa"/>
            <w:gridSpan w:val="8"/>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Приведено обозначение по ГОСТ Р 54815, в котором первая цифра определяет индекс цветопередачи (в десятках </w:t>
            </w:r>
            <w:r w:rsidRPr="003C0CFF">
              <w:rPr>
                <w:rFonts w:eastAsia="Times New Roman" w:cstheme="minorHAnsi"/>
                <w:noProof/>
                <w:color w:val="000000" w:themeColor="text1"/>
                <w:sz w:val="24"/>
                <w:szCs w:val="24"/>
                <w:lang w:eastAsia="ru-RU"/>
              </w:rPr>
              <w:drawing>
                <wp:inline distT="0" distB="0" distL="0" distR="0" wp14:anchorId="0A894607" wp14:editId="4F503BE1">
                  <wp:extent cx="553085" cy="436245"/>
                  <wp:effectExtent l="0" t="0" r="0" b="1905"/>
                  <wp:docPr id="43" name="Рисунок 43"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а две последние - цветовую температуру (в сотнях кельвинов). Например, 765 означает </w:t>
            </w:r>
            <w:r w:rsidRPr="003C0CFF">
              <w:rPr>
                <w:rFonts w:eastAsia="Times New Roman" w:cstheme="minorHAnsi"/>
                <w:noProof/>
                <w:color w:val="000000" w:themeColor="text1"/>
                <w:sz w:val="24"/>
                <w:szCs w:val="24"/>
                <w:lang w:eastAsia="ru-RU"/>
              </w:rPr>
              <w:drawing>
                <wp:inline distT="0" distB="0" distL="0" distR="0" wp14:anchorId="54160F90" wp14:editId="6D5FE592">
                  <wp:extent cx="553085" cy="436245"/>
                  <wp:effectExtent l="0" t="0" r="0" b="1905"/>
                  <wp:docPr id="42" name="Рисунок 42"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70, </w:t>
            </w:r>
            <w:r w:rsidRPr="003C0CFF">
              <w:rPr>
                <w:rFonts w:eastAsia="Times New Roman" w:cstheme="minorHAnsi"/>
                <w:noProof/>
                <w:color w:val="000000" w:themeColor="text1"/>
                <w:sz w:val="24"/>
                <w:szCs w:val="24"/>
                <w:lang w:eastAsia="ru-RU"/>
              </w:rPr>
              <w:drawing>
                <wp:inline distT="0" distB="0" distL="0" distR="0" wp14:anchorId="12F6FF36" wp14:editId="28A9871F">
                  <wp:extent cx="223520" cy="233680"/>
                  <wp:effectExtent l="0" t="0" r="5080" b="0"/>
                  <wp:docPr id="41" name="Рисунок 41"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6500 К.</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Прямое излучение ярких светодиодных источников света не должно попадать в поле зрения находящихся в помещении.</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К. РЕКОМЕНДУЕМЫЕ ИСТОЧНИКИ СВЕТА ДЛЯ ОБЩЕГО ОСВЕЩЕНИЯ ОБЩЕСТВЕННЫХ ЗДАНИЙ И ОБЩЕДОМОВЫХ ПОМЕЩЕНИЙ ЖИЛЫХ ЗДАНИЙ</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К.1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1"/>
        <w:gridCol w:w="1842"/>
        <w:gridCol w:w="1545"/>
        <w:gridCol w:w="1565"/>
        <w:gridCol w:w="1348"/>
        <w:gridCol w:w="1695"/>
      </w:tblGrid>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освещению</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Характеристика зрительной работы по требованиям к цветоразличению</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лк</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цветопередачи источников света </w:t>
            </w:r>
            <w:r w:rsidRPr="003C0CFF">
              <w:rPr>
                <w:rFonts w:eastAsia="Times New Roman" w:cstheme="minorHAnsi"/>
                <w:noProof/>
                <w:color w:val="000000" w:themeColor="text1"/>
                <w:sz w:val="24"/>
                <w:szCs w:val="24"/>
                <w:lang w:eastAsia="ru-RU"/>
              </w:rPr>
              <w:drawing>
                <wp:inline distT="0" distB="0" distL="0" distR="0" wp14:anchorId="0AB17533" wp14:editId="54E9DD33">
                  <wp:extent cx="553085" cy="436245"/>
                  <wp:effectExtent l="0" t="0" r="0" b="1905"/>
                  <wp:docPr id="40" name="Рисунок 40"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Диапазон цветовой температуры источников света </w:t>
            </w:r>
            <w:r w:rsidRPr="003C0CFF">
              <w:rPr>
                <w:rFonts w:eastAsia="Times New Roman" w:cstheme="minorHAnsi"/>
                <w:noProof/>
                <w:color w:val="000000" w:themeColor="text1"/>
                <w:sz w:val="24"/>
                <w:szCs w:val="24"/>
                <w:lang w:eastAsia="ru-RU"/>
              </w:rPr>
              <w:drawing>
                <wp:inline distT="0" distB="0" distL="0" distR="0" wp14:anchorId="2AD7C5CB" wp14:editId="32CBD58A">
                  <wp:extent cx="223520" cy="233680"/>
                  <wp:effectExtent l="0" t="0" r="5080" b="0"/>
                  <wp:docPr id="39" name="Рисунок 39"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Рекомендуемые источники света для общего освещения</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Обеспечение зрительного комфорта в помещениях при выполнении зрительных работ разрядов А - В</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Сопоставление цветов с очень высокими требованиями к цветоразличению и выбор цвета (магазины по продаже одежды и тканей, косметики и т. п.)</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90 - 95</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5000 - 6500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ЛДЦ, 950 *, 965 *</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Сопоставление цветов с высокими требованиями к цветоразличению (кабинеты рисования, обслуживающих видов труда, закройные отделения в ателье, залы заседаний федерального значения, химические лаборатории, выставочные залы, макетные и т. п.)</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200 до 500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85 - 89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3000 - 6500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ЛТБЦЦ, ЛДЦ, 930 *, 940 *, 950 *, 965 *</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Различение цветных объектов при невысоких требованиях к цветоразличению (комнаты кружков учебных заведений, универсамы, торговые залы магазинов, ателье химической чистки одежды, обеденные залы, крытые бассейны, спортзалы)</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150 до 300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830 *, МГЛ,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150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3500 - 5000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ЛД, 740 *, 765 *, МГЛ,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Обеспечение психоэмоционального комфорта в помещении с разрядами зрительных работ разрядов Г - Ж</w:t>
            </w: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цветопередаче отсутствуют (кабинеты, рабочие комнаты, конструкторские, чертежные бюро, читательские каталоги, архивы, книгохранилища и т. п.)</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830 *, МГЛ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150 до 300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3500 - 5000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ЛХБ, 740 *, 765 *, МГЛ,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150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50 - 69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2400 - 3500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 ЛБ, 730 *, 735 *, НЛВД,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Различение цветных объектов при невысоких требованиях к цветоразличению (концертные залы, зрительные залы театров, клубов, актовые залы, вестибюли и т. п.)</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300 до 500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ЛЕЦ, 840 *, 865 *, МГЛ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 150 до 300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80 - 84</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2700 - 4500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ЛТБЦ, 827 *, 830 *, МГЛ,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150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70 - 79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3500 - 5000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ЛХБ, 740 *, 765 *, МГЛ, КЛЛ</w:t>
            </w:r>
          </w:p>
        </w:tc>
      </w:tr>
      <w:tr w:rsidR="003C0CFF" w:rsidRPr="003C0CFF" w:rsidTr="003C0CFF">
        <w:tc>
          <w:tcPr>
            <w:tcW w:w="76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7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Требования к цветопередаче отсутствуют (зрительные залы кинотеатров, лифтовые холлы, коридоры, проходы, переходы и т. п.)</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Менее 150</w:t>
            </w:r>
          </w:p>
        </w:tc>
        <w:tc>
          <w:tcPr>
            <w:tcW w:w="46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50 - 59</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2400 - 3500</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СД; ЛЛ типов: ЛТБ, ЛБ, 730 *, 735 *, КЛЛ</w:t>
            </w:r>
          </w:p>
        </w:tc>
      </w:tr>
      <w:tr w:rsidR="003C0CFF" w:rsidRPr="003C0CFF" w:rsidTr="003C0CFF">
        <w:tc>
          <w:tcPr>
            <w:tcW w:w="3750" w:type="dxa"/>
            <w:gridSpan w:val="6"/>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Приведено обозначение по ГОСТ Р 54815, в котором первая цифра определяет индекс цветопередачи (в десятках </w:t>
            </w:r>
            <w:r w:rsidRPr="003C0CFF">
              <w:rPr>
                <w:rFonts w:eastAsia="Times New Roman" w:cstheme="minorHAnsi"/>
                <w:noProof/>
                <w:color w:val="000000" w:themeColor="text1"/>
                <w:sz w:val="24"/>
                <w:szCs w:val="24"/>
                <w:lang w:eastAsia="ru-RU"/>
              </w:rPr>
              <w:drawing>
                <wp:inline distT="0" distB="0" distL="0" distR="0" wp14:anchorId="50CBCBF9" wp14:editId="355CFC2E">
                  <wp:extent cx="553085" cy="436245"/>
                  <wp:effectExtent l="0" t="0" r="0" b="1905"/>
                  <wp:docPr id="38" name="Рисунок 38"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а две последние - цветовую температуру (в сотнях кельвинов). Например, 765 означает </w:t>
            </w:r>
            <w:r w:rsidRPr="003C0CFF">
              <w:rPr>
                <w:rFonts w:eastAsia="Times New Roman" w:cstheme="minorHAnsi"/>
                <w:noProof/>
                <w:color w:val="000000" w:themeColor="text1"/>
                <w:sz w:val="24"/>
                <w:szCs w:val="24"/>
                <w:lang w:eastAsia="ru-RU"/>
              </w:rPr>
              <w:drawing>
                <wp:inline distT="0" distB="0" distL="0" distR="0" wp14:anchorId="4B4339B1" wp14:editId="6D0911FE">
                  <wp:extent cx="553085" cy="436245"/>
                  <wp:effectExtent l="0" t="0" r="0" b="1905"/>
                  <wp:docPr id="37" name="Рисунок 37"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70, </w:t>
            </w:r>
            <w:r w:rsidRPr="003C0CFF">
              <w:rPr>
                <w:rFonts w:eastAsia="Times New Roman" w:cstheme="minorHAnsi"/>
                <w:noProof/>
                <w:color w:val="000000" w:themeColor="text1"/>
                <w:sz w:val="24"/>
                <w:szCs w:val="24"/>
                <w:lang w:eastAsia="ru-RU"/>
              </w:rPr>
              <w:drawing>
                <wp:inline distT="0" distB="0" distL="0" distR="0" wp14:anchorId="10041D2F" wp14:editId="08E05ABC">
                  <wp:extent cx="223520" cy="233680"/>
                  <wp:effectExtent l="0" t="0" r="5080" b="0"/>
                  <wp:docPr id="36" name="Рисунок 36" descr="https://mobile.olimpoks.ru/Prepare/Doc/1035/5/f6b6ea45-8c63-4ce0-8046-f504baab01c2/i/27e60c84-9bf6-4a31-9553-41b665dc1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mobile.olimpoks.ru/Prepare/Doc/1035/5/f6b6ea45-8c63-4ce0-8046-f504baab01c2/i/27e60c84-9bf6-4a31-9553-41b665dc119f.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6500 К.</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Принятые сокращения: КЛЛ - компактные люминесцентные лампы; ЛБ - лампы белого света; ЛД - лампы дневного света; ЛДЦ - лампы дневного света с улучшенной цветопередачей; ЛЕЦ - лампы естественного света с улучшенной цветопередачей; ЛЛ - люминесцентные лампы; ЛТБ - лампы тепло-белого света; ЛТБЦ - лампы тепло-белого света с улучшенной цветопередачей; ЛТБЦЦ - лампы тепло-белого света с высококачественной цветопередачей; ЛХБ - лампы холодно-белого света; МГЛ - металлогалогенные лампы; НЛВД - натриевые лампы высокого давления; СД - светодиоды.</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Прямое излучение ярких светодиодных источников света не должно попадать в поле зрения находящихся в помещении.</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Л. НОРМАТИВНЫЕ ПОКАЗАТЕЛИ ОСВЕЩЕНИЯ ОСНОВНЫХ ПОМЕЩЕНИЙ ОБЩЕСТВЕННЫХ, ЖИЛЫХ И ВСПОМОГАТЕЛЬНЫХ ЗДАНИЙ, ПОМЕЩЕНИЙ И СООРУЖЕНИЙ ОБЪЕКТОВ ОБЩЕПРОМЫШЛЕННОГО НАЗНАЧЕНИЯ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Л.1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Нормативные показатели освещения основных помещений общественных, жилых и вспомогательных зданий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65"/>
        <w:gridCol w:w="1249"/>
        <w:gridCol w:w="896"/>
        <w:gridCol w:w="688"/>
        <w:gridCol w:w="407"/>
        <w:gridCol w:w="612"/>
        <w:gridCol w:w="564"/>
        <w:gridCol w:w="541"/>
        <w:gridCol w:w="554"/>
        <w:gridCol w:w="688"/>
        <w:gridCol w:w="407"/>
        <w:gridCol w:w="688"/>
        <w:gridCol w:w="407"/>
      </w:tblGrid>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Помещения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Плоскость (Г - горизонтальная, В - вертикальная) нормирования освещенности и КЕО, высота плоскости над полом, м</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и подразряд зрительной работы</w:t>
            </w:r>
          </w:p>
        </w:tc>
        <w:tc>
          <w:tcPr>
            <w:tcW w:w="1680" w:type="dxa"/>
            <w:gridSpan w:val="6"/>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w:t>
            </w: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Естественное освещение</w:t>
            </w: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Совмещенное освещение</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рабочих поверхностей, лк</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Цилиндрическая освещенность, лк</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Объединенный показатель дискомфорта UGR, не более</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 не более</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Индекс цветопередачи источников света </w:t>
            </w:r>
            <w:r w:rsidRPr="003C0CFF">
              <w:rPr>
                <w:rFonts w:eastAsia="Times New Roman" w:cstheme="minorHAnsi"/>
                <w:noProof/>
                <w:color w:val="000000" w:themeColor="text1"/>
                <w:sz w:val="24"/>
                <w:szCs w:val="24"/>
                <w:lang w:eastAsia="ru-RU"/>
              </w:rPr>
              <w:drawing>
                <wp:inline distT="0" distB="0" distL="0" distR="0" wp14:anchorId="22059CCA" wp14:editId="4C5CB797">
                  <wp:extent cx="553085" cy="436245"/>
                  <wp:effectExtent l="0" t="0" r="0" b="1905"/>
                  <wp:docPr id="35" name="Рисунок 35" descr="https://mobile.olimpoks.ru/Prepare/Doc/1035/5/f6b6ea45-8c63-4ce0-8046-f504baab01c2/i/ebd66a6e-03ae-4c4f-a0af-23bf4d662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mobile.olimpoks.ru/Prepare/Doc/1035/5/f6b6ea45-8c63-4ce0-8046-f504baab01c2/i/ebd66a6e-03ae-4c4f-a0af-23bf4d6620e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1BFBFD44" wp14:editId="2D2FD247">
                  <wp:extent cx="361315" cy="297815"/>
                  <wp:effectExtent l="0" t="0" r="635" b="6985"/>
                  <wp:docPr id="34" name="Рисунок 34" descr="https://mobile.olimpoks.ru/Prepare/Doc/1035/5/f6b6ea45-8c63-4ce0-8046-f504baab01c2/i/155eb77f-bfc0-432e-bd56-57b15d65a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mobile.olimpoks.ru/Prepare/Doc/1035/5/f6b6ea45-8c63-4ce0-8046-f504baab01c2/i/155eb77f-bfc0-432e-bd56-57b15d65a23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31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p>
        </w:tc>
        <w:tc>
          <w:tcPr>
            <w:tcW w:w="540"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1EA2A697" wp14:editId="60DDBC8E">
                  <wp:extent cx="361315" cy="297815"/>
                  <wp:effectExtent l="0" t="0" r="635" b="6985"/>
                  <wp:docPr id="33" name="Рисунок 33" descr="https://mobile.olimpoks.ru/Prepare/Doc/1035/5/f6b6ea45-8c63-4ce0-8046-f504baab01c2/i/155eb77f-bfc0-432e-bd56-57b15d65a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mobile.olimpoks.ru/Prepare/Doc/1035/5/f6b6ea45-8c63-4ce0-8046-f504baab01c2/i/155eb77f-bfc0-432e-bd56-57b15d65a23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31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комбинированном освещении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общем освещении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Административные здания (министерства, ведомства, комитеты, префектуры, муниципалитеты, управления, конструкторские и проектные организации, научно-исследовательские учреждения и т. п.)</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Кабинеты и рабочие комнаты, офисы, представительства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Проектные залы и комнаты, конструкторские, чертежные бюро</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600/400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Помещения для посетителей, экспедиции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Читальные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Читательские каталоги, помещения фонда открытого доступа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В-1,0 - на фронте карточек, на стеллажах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Книгохранилища и архивы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В-1,0 - на стеллажах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 Помещения для ксерокопирования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 Переплетно-брошюровочные помещения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 Макетные, столярные и ремонтные мастерские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верстаках и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 Компьютерные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В-1,2 - на экране дисплея</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 Конференц-залы, залы заседаний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 Рекреации, кулуары, фойе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Лаборатории: органической и неорганической химии, термические, физические, спектрографические, стилометрические, фотометрические, микроскопные, рентгеноструктурного анализа, механические и радиоизмерительные, электронных устройств, препараторские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 Аналитические лаборатории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600/400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Весовые, термостатные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400/400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Фотокомнаты, дистилляторные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Архивы проб, хранение реактивов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Моечные лабораторной посуды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Банковские и страховые учреждения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Операционные залы, кредитные группы, кассовые залы, помещения пересчета денег</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 Помещения отдела инкассации, инкассаторные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 Депозитарии, предкладовые, кладовые ценностей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Серверные, помещения межбанковских электронных расчетов, помещения аппаратуры криптозащиты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 Помещения вводно-кабельного оборудования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 Помещения алфавитно-цифровых печатающих устройств, кабины персонализации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 Комнаты изготовления, обработки и хранения идентификационных карт, помещения процессингового центра по пластиковым карточкам</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 Помещения обслуживания физических лиц</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23 Помещения сейфовой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 Смотровые коридоры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Общеобразовательные организации и организации профессионального и высшего образования</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 Классные комнаты, аудитории, учебные кабинеты, лаборатории общеобразовательных организаций, интернатов, профессиональных образовательных организаций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середине доски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 и партах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&lt;1&gt;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&lt;1&gt;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 Аудитории, учебные кабинеты, лаборатории техникумов и высших учебных заведений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 Кабинеты информатики и вычислительной техники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экране дисплея</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 и партах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 Кабинеты технического черчения и рисования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доске</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 и партах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29 Лаборантские при учебных кабинетах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 Мастерские по обработке металлов и древесины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верстаках и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 Кабинеты обслуживающих видов труда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 Инструментальные комнаты мастера-инструктора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 Спортивные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уровне 2,0 м от пола с обеих сторон на продольной оси помещения</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 **</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 Снарядные инвентарные, хозяйственные кладовые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 Крытые бассейны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на поверхности воды</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 Актовые залы, киноаудитории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 Эстрады актовых залов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 Кабинеты и комнаты преподавателей, медицинские кабинеты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 Рекреации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Учреждения досугового назначения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Залы многоцелевого назначения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41 Зрительные залы театров, концертные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 Зрительные залы клубов, клуб-гостиные, помещения для досуговых занятий, собраний, фойе театров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43 Помещения игровых автоматов, настольных игр</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44 Биллиардные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 Залы компьютерных игр</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экран;</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46 Видеокомплексы (видеозал, видеокафе)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47 Выставочные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48 Зрительные залы кинотеатров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49 Фойе кинотеатров, клубов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Комнаты кружков, музыкальные классы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 Кино-, звуко- и светоаппаратные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Дошкольные образовательные организации (ДОО)</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52 Раздевальные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 Групповые, игральные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54 Комнаты музыкальных и гимнастических занятий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 Столовые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 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56 Спальные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57 Изоляторы, комнаты для заболевших детей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58 Медицинские кабинеты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Санатории, дома отдыха, пансионаты</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59 Палаты, спальные комнаты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 Детские палаты, палаты матери и ребенка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61 Кабинеты врачей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62 Кабинеты врачей-педиатров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 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63 Классные комнаты детских санаториев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Физкультурно-оздоровительные учреждения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64 Залы спортивных игр</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В-2,0 - с обеих сторон на продольной оси помещения</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65 Залы бассейнов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поверхность воды</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66 Залы аэробики, гимнастики, борьбы</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67 Кегельбаны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Предприятия общественного питания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68 Обеденные залы ресторанов, столовых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69 Раздаточные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Горячие цехи, холодные и заготовительные цехи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 Доготовочные цехи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 Моечные кухонной и столовой посуды, помещения для резки хлеба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 Кондитерские цехи, помещения для мучных изделий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 Помещения для изготовления шоколада и конфет</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 Помещения для производства мороженого, напитков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 Помещения для подготовки продуктов, упаковки готовой продукции, комплектации заказов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 Загрузочные, кладовые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Магазины</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78 Торговые залы супермаркетов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79 Торговые залы магазинов без самообслуживания: продовольственных, книжных, готового платья, белья, обуви, тканей, меховых изделий, головных уборов, парфюмерных, галантерейных, ювелирных, электро-, радиотоваров, игрушек и канцелярских товаров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Торговые залы продовольственных магазинов с самообслуживанием</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81 Торговые залы магазинов: посудных, мебельных, спортивных товаров, стройматериалов, электробытовых, машин, игрушек и канцелярских товаров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82 Примерочные кабины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83 Залы демонстрации новых товаров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84 Помещения отделов заказов, бюро обслуживания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Помещения главных касс</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86 Помещения для подготовки товаров к продаже: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разрубочные, фасовочные, комплектовочные отдела заказов</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помещения нарезки тканей, гладильные, мастерские магазинов радио-, электротоваров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87 Мастерские подгонки готового платья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88 Рекламно-декорационные мастерские, мастерские ремонта оборудования и инвентаря, помещения бракеров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Предприятия бытового обслуживания населения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89 Бани: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ожидальные-остывочные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раздевальные, моечные, душевые, парильные</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бассейны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 Парикмахерские: мужской и женский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91 Косметические кабинеты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600/400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92 Фотографии: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салоны приема и выдачи заказов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съемочные залы фотоателье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93 Фотолаборатории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В-1,2 - на экране дисплея</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94 Прачечные: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отделения приема и выдачи белья: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прием с меткой, учет, выдача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хранение белья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стиральные отделения: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стирка, приготовление растворов,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хранение стиральных материалов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сушильно-гладильные отделения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отделения разборки и упаковки белья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отделения починки белья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IIа 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95 Прачечные с самообслуживанием</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96 Ателье химической чистки одежды: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салоны приема и выдачи одежды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помещения химической чистки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отделения выведения пятен</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помещения для хранения химикатов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97 Ателье изготовления и ремонта одежды и трикотажных изделий: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пошивочные цехи</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IIа 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закройные отделения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рабочих столах</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отделения ремонта одежды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IIа 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отделения подготовки прикладных материалов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отделения ручной и машинной вязки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 утюжные, декатировочные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98 Пункты проката:</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помещения для посетителей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кладовые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99 Ремонтные мастерские: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изготовление и ремонт головных уборов, скорняжные работы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IIa</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 ²</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ремонт обуви, галантереи, металлоизделий, изделий из пластмассы, бытовых электроприборов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IIIа</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2000/750 ²</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ремонт часов, ювелирные и граверные работы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ремонт фото-, кино-, радио- и телеаппаратуры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Студия звукозаписи: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помещения для записи и прослушивания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фонотеки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Гостиницы</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101 Бюро обслуживания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102 Помещения дежурного и обслуживающего персонала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103 Гостиные, номера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Организации, осуществляющие медицинскую деятельность. Приемные и палатные отделения</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104 Отсеки краткосрочного наблюдения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105 Палаты отделений для взрослых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106 Палаты: детских отделений; для новорожденных; интенсивной терапии; послеоперационные, палаты матери и ребенка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(пп. 104 - 106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107 Классные комнаты детских стационаров/отделений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108 Игровые комнаты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¹</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¹</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109 Помещения приема пищи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110 Процедурные, смотровые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110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111 Посты медсестер</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112 Комнаты (зоны) дневного пребывания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112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113 Помещения хранения переносной аппаратуры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114 Коридоры медицинских учреждений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115 Веранды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Лечебные отделения</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116 Операционные, реанимационный зал, манипуляционные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117 Родовые палаты, диализные залы, перевязочные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118 Предоперационные, предреанимационные, протокольные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119 Монтажные аппаратов искусственного кровообращения, искусственной почки, подготовки инфузионных систем и т. п.</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120 Помещения хранения и подготовки крови к переливанию</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(пп. 116 - 120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121 Помещения хранения и приготовления гипса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Отделения консультативного приема, кабинеты диагностики и лечения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122 Регистратуры, диспетчерские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123 Кабинеты хирургов, акушеров, гинекологов, травматологов, педиатров, инфекционистов, дерматологов, аллергологов, стоматологов; смотровые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124 Кабинеты приема врачей других специальностей (кроме приведенных выше), фельдшеров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125 Темные комнаты офтальмологов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126 Кабинеты функциональной диагностики, физиотерапии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127 Процедурные эндоскопических кабинетов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128 Комнаты управления кабинетов лучевой терапии и диагностики, архивы, технические помещения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129 Процедурные рентгентерапевтических, рентгендиагностических кабинетов, компьютерной томографии, флюорографии, введения радиофармацевтических препаратов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 ³</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(пп. 128, 129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130 Помещения бальнеотерапии, душевые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131 Помещения трудотерапии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132 Помещения для лечения сном, фотарии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133 Кабинеты массажа, лечебной физкультуры, тренажерные залы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134 Помещения подготовки парафина, озокерита, обработки прокладок, стирки и сушки простыней, холстов, брезентов, регенерации грязи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Лаборатории медицинских учреждений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135 Помещения приема, выдачи и регистрации анализов, весовые, помещения подготовки питательных сред, помещения для окраски проб, центрифужные, микроскопические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136а Лаборантские для исследований (общеклинические, гематологические, биохимические, серологические, микробиологические и т. п.)</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136б Боксы микробиологические, лаборантские эмбриологические, лаборатории клеточных технологий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137 Препараторские, помещения подготовки результатов исследований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138 Моечные, стерилизационные лабораторной посуды, термостатные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(пп. 135 - 138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139 Кабинеты с кабинами зондирования и взятия желудочного сока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140 Стеклодувные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141 Помещения зубных техников, гипсовые, полимеризационные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2000/200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Стерилизационные помещения и дезинфекционные помещения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142 Стерилизационные-автоклавные, помещения приема и хранения материалов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143 Помещения подготовки инструмента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144 Помещения ремонта и заточки инструмента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145 Помещения дезинфекционных камер</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Патологоанатомическое отделение</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146 Секционные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147 Предсекционные, фиксационные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Помещения пищеблоков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148 Раздаточные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149 Горячие, холодные, доготовочные, заготовочные цехи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 Моечные посуды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151 Загрузочные, кладовые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Аптеки</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152 Площади для посетителей в зале обслуживания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153 Рецептурные отделы, отделы ручной продажи, оптики, готовых лекарственных средств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154 Ассистентские, асептические, аналитические, фасовочные, заготовочные концентратов и полуфабрикатов, контрольно-маркировочные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600/400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 154 в ред. Изменения N 1, утв. Приказом Минстроя России от 20.11.2019 N 699/пр)</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155 Моечные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156 Помещения хранения лекарственных и перевязочных средств, посуды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157 Помещение хранения кислот, дезинфекционных средств, горючих и легковоспламеняющихся жидкостей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158 Кладовые тары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Центры гигиены и эпидемиологии</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159 Диспетчерские, помещения хранения и выдачи готовых приманок, фасовочные, выдачи дезинфекционных средств и бактерийных препаратов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160 Помещения хранения биологических, лечебных, диагностических препаратов, реактивов, дезинфицирующих средств, кислот</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161 Помещения хранения дезинфекционной аппаратуры, инвентаря, белья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162 Комнаты гельминтологов, энтомологов, вирусологов, бактериологов, лаборантские, химические, биохимические лаборатории, серологические, боксы, препараторские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163 Радиологические, радиохимические, помещения спектроскопии и полярографии, лаборатории акустики, вибрации, электромагнитных полей, физиологии труда, средоварочные с боксами, термитные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164 Моечные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165 Помещения взятия проб</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166 Боксы серологических исследований особо опасных инфекций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167 Комнаты зоопаразитологов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168 Биопробные, помещения хранения питательных сред</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169 Помещения дезинфекционных камер, стерильные цехи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170 Помещения сжигания трупов животных и отходов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Виварии</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171 Виварии. Помещения для содержания животных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Станции скорой и неотложной медицинской помощи</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172 Диспетчерские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173 Помещения радиопоста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174 Помещения хранения ящиков выездных бригад</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В-1,0 - стеллажи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175 Помещения текущего запаса медикаментов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176 Комнаты выездных бригад</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Молочные кухни, раздаточные пункты</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177 Помещения фильтрации и разлива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178 Остывочные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179 Помещения приготовления и фасовки продуктов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180 Помещения приема и хранения посуды, раздаточные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Вокзалы</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181 Залы ожидания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182 Операционные залы, отделения связи, операторские, диспетчерские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183 Вычислительные центры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500/300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184 Кассовые залы, билетные багажные кассы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185 Распределительные залы, вестибюли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186 Комнаты матери и ребенка, длительного пребывания пассажиров</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Жилые дома</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187 Жилые комнаты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188 Кухни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189 Коридоры, ванные, уборные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190 Общедомовые помещения: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помещения консьержа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вестибюли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поэтажные коридоры и лифтовые холлы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лестницы и лестничные площадки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пол, площадки, ступени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Вспомогательные здания и помещения</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191 Санитарно-бытовые помещения: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умывальные, уборные, курительные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душевые, гардеробные, помещения для сушки, обеспыливания и обеззараживания одежды и обуви, помещения для обогревания работающих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192 Здравпункты: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ожидальные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регистратуры, комнаты дежурного персонала</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кабинеты врачей, перевязочные</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процедурные кабинеты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3750" w:type="dxa"/>
            <w:gridSpan w:val="13"/>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Прочие помещения производственных, вспомогательных и общественных зданий</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193 Вестибюли и гардеробные уличной одежды: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вузах, общеобразовательных организациях, общежитиях, гостиницах, театрах, клубах, при входах в крупные промышленные предприятия и общественные здания</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0,4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 прочих промышленных, вспомогательных и общественных зданиях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в жилых зданиях</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З-1</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30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194 Лестницы: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главные лестничные клетки общественных, производственных и вспомогательных зданий, тамбуры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пол, площадки, ступени</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лестничные клетки жилых зданий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остальные лестничные клетки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195 Лифтовые холлы: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общественных, производственных и вспомогательных зданиях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 жилых зданиях</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196 Коридоры и проходы: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главные коридоры и проходы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поэтажные коридоры жилых зданий</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остальные коридоры</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Ж-2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197 Машинные отделения лифтов и помещения для фреоновых установок</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З-1</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198 Чердаки</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З-2</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0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1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0,1 ²</w:t>
            </w:r>
          </w:p>
        </w:tc>
      </w:tr>
      <w:tr w:rsidR="003C0CFF" w:rsidRPr="003C0CFF" w:rsidTr="003C0CFF">
        <w:tc>
          <w:tcPr>
            <w:tcW w:w="3750" w:type="dxa"/>
            <w:gridSpan w:val="13"/>
            <w:tcBorders>
              <w:top w:val="nil"/>
              <w:left w:val="nil"/>
              <w:bottom w:val="single" w:sz="6" w:space="0" w:color="000000"/>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¹ Нормированные значения КЕО повышены в помещениях, специально предназначенных для пребывания детей и подростков.</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² Нормированные значения установлены экспериментально при отраслевом нормировании.</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³ Необходимо предусмотреть ступенчатое снижение освещенности до 50 лк во время исследования.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(сноска ³ введена Изменением N 1, утв. Приказом Минстроя России от 20.11.2019 N 699/пр)</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Наличие нормируемых значений освещенности в графах "Освещенность рабочих поверхностей, лк, при комбинированном освещении" и "Освещенность рабочих поверхностей, лк, при общем освещении" указывает на возможность применения одной из этих систем.</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При дробном обозначении освещенности, приведенной в графе "Освещенность рабочих поверхностей, лк, при комбинированном освещении", в числителе указана норма освещенности от общего и местного освещения на рабочем месте, а в знаменателе - освещенность от общего освещения по помещению.</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Прочерки в таблице означают отсутствие предъявляемых требований.</w:t>
            </w:r>
          </w:p>
        </w:tc>
      </w:tr>
    </w:tbl>
    <w:p w:rsidR="003C0CFF" w:rsidRPr="003C0CFF" w:rsidRDefault="003C0CFF" w:rsidP="003C0CFF">
      <w:pPr>
        <w:shd w:val="clear" w:color="auto" w:fill="FFFFFF"/>
        <w:spacing w:before="120" w:after="120" w:line="240" w:lineRule="auto"/>
        <w:jc w:val="right"/>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Таблица Л.2</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b/>
          <w:bCs/>
          <w:color w:val="000000" w:themeColor="text1"/>
          <w:sz w:val="24"/>
          <w:szCs w:val="24"/>
          <w:lang w:eastAsia="ru-RU"/>
        </w:rPr>
        <w:t>Нормативные показатели естественного, искусственного и совмещенного освещения помещений и сооружений объектов общепромышленного назначения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97"/>
        <w:gridCol w:w="1328"/>
        <w:gridCol w:w="954"/>
        <w:gridCol w:w="733"/>
        <w:gridCol w:w="434"/>
        <w:gridCol w:w="601"/>
        <w:gridCol w:w="577"/>
        <w:gridCol w:w="1187"/>
        <w:gridCol w:w="434"/>
        <w:gridCol w:w="1187"/>
        <w:gridCol w:w="434"/>
      </w:tblGrid>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Помещения</w:t>
            </w:r>
          </w:p>
        </w:tc>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Плоскость (Г - горизонтальная, В - вертикальная) нормирования освещенности и КЕО, высота плоскости над полом, м</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Разряд и подразряд зрительной работы</w:t>
            </w:r>
          </w:p>
        </w:tc>
        <w:tc>
          <w:tcPr>
            <w:tcW w:w="1320"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Искусственное освещение</w:t>
            </w:r>
          </w:p>
        </w:tc>
        <w:tc>
          <w:tcPr>
            <w:tcW w:w="64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Естественное освещение</w:t>
            </w:r>
          </w:p>
        </w:tc>
        <w:tc>
          <w:tcPr>
            <w:tcW w:w="64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Совмещенное освещение</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64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Освещенность рабочих поверхностей, лк</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Объединенный показатель дискомфорта UGR, не более</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Коэффициент пульсации освещенности, %, не более</w:t>
            </w:r>
          </w:p>
        </w:tc>
        <w:tc>
          <w:tcPr>
            <w:tcW w:w="64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35977B4A" wp14:editId="0F618859">
                  <wp:extent cx="361315" cy="297815"/>
                  <wp:effectExtent l="0" t="0" r="635" b="6985"/>
                  <wp:docPr id="32" name="Рисунок 32" descr="https://mobile.olimpoks.ru/Prepare/Doc/1035/5/f6b6ea45-8c63-4ce0-8046-f504baab01c2/i/155eb77f-bfc0-432e-bd56-57b15d65a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mobile.olimpoks.ru/Prepare/Doc/1035/5/f6b6ea45-8c63-4ce0-8046-f504baab01c2/i/155eb77f-bfc0-432e-bd56-57b15d65a23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31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p>
        </w:tc>
        <w:tc>
          <w:tcPr>
            <w:tcW w:w="64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КЕО </w:t>
            </w:r>
            <w:r w:rsidRPr="003C0CFF">
              <w:rPr>
                <w:rFonts w:eastAsia="Times New Roman" w:cstheme="minorHAnsi"/>
                <w:noProof/>
                <w:color w:val="000000" w:themeColor="text1"/>
                <w:sz w:val="24"/>
                <w:szCs w:val="24"/>
                <w:lang w:eastAsia="ru-RU"/>
              </w:rPr>
              <w:drawing>
                <wp:inline distT="0" distB="0" distL="0" distR="0" wp14:anchorId="2BB8763B" wp14:editId="5E9C7C3D">
                  <wp:extent cx="361315" cy="297815"/>
                  <wp:effectExtent l="0" t="0" r="635" b="6985"/>
                  <wp:docPr id="31" name="Рисунок 31" descr="https://mobile.olimpoks.ru/Prepare/Doc/1035/5/f6b6ea45-8c63-4ce0-8046-f504baab01c2/i/155eb77f-bfc0-432e-bd56-57b15d65a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mobile.olimpoks.ru/Prepare/Doc/1035/5/f6b6ea45-8c63-4ce0-8046-f504baab01c2/i/155eb77f-bfc0-432e-bd56-57b15d65a23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315" cy="29781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комбинированном освещении</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общем освещении</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верхнем или комбинированном освещении</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 боковом освещении</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36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25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33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31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w:t>
            </w:r>
          </w:p>
        </w:tc>
        <w:tc>
          <w:tcPr>
            <w:tcW w:w="39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40"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Стоянки, площадки хранения подвижного состава, депо</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Открытые стоянки, площадки для хранения подвижного состава вне улиц:</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без подогрева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покрытие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XVI ¹</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 подогревом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покрытие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Помещения для закрытого хранения подвижного состава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транспортных предприятий (депо, закрытые стоянки подвижного состава)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помещения для хранения автомобилей в гаражах, автостоянках и паркингах для индивидуального транспорта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Автозаправочные станции, топливозаправочные пункты</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 Зона топливораздаточных колонок:</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помещениях или под навесом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табло колонок</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покрытие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табло колонок</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 Зона технологических колодцев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крышка колодца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Станции технического обслуживания транспорта,</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транспортные предприятия</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 Осмотровые канавы: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днище машины</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Vб 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днище машины</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 Участки (посты) мойки и уборки подвижного состава: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покрытие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 Участки диагностирования: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легковых автомобилей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грузовых автомобилей, автобусов, трамваев, троллейбусов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 Участки технического обслуживания (ТО-1, ТО-2) и текущего ремонта: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легковых автомобилей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грузовых автомобилей, автобусов, трамваев, троллейбусов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9 Подъемники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днище машины</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Vб 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 Агрегатные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легковых автомобилей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грузовых автомобилей, автобусов, трамваев и троллейбусов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11 Мойка агрегатов, узлов, деталей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место загрузки и выгрузки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 Участки монтажа и ремонта шин, вулканизационные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 Кузнечно-рессорные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1,3</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14 Сварочно-жестяницкие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 Медницкие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верстаке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16 Обойные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17 Кузовные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 Окрасочные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легковых автомобилей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грузовых автомобилей, автобусов, трамваев и троллейбусов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 Краскоприготовительные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 Деревообрабатывающие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зона обработки, разметочная плита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21 Участки ремонта электрооборудования и приборов питания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 Таксометровые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23 Слесарно-механические участки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 Металлорежущие станки: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заточные, зубообрабатывающие, координатно-расточные, резьбонакатные, резьботокарные, резьбошлифовальные, токарные, токарно-затыловочные, фрезерные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зона обработки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внутришлифовальные, круглошлифовальные, плоскошлифовальные, поперечно-строгальные, токарно-винтовые, токарно-карусельные, токарно-револьверные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зона обработки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19</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продольно-строгальные, лоботокарные, сверлильные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зона обработки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22</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долбильные, протяжные, обрезные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зона обработки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 Помещения сушки автомобилей и автобусов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26 Помещение зарядных устройств аккумуляторных батарей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27 Ремонт аккумуляторов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Электропомещения</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 Помещения распределительных устройств, диспетчерские, операторные (электрощитовые):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постоянным дежурством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стол оператора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В-1,5 - пульт управления,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задняя сторона щита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 периодическим пребыванием людей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В-1,5 - пульт управления,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задняя сторона щита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29 Пульты, щиты управления: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измерительной аппаратурой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без измерительной аппаратуры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рычаги, рукоятки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рычаги, рукоятки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 Отдельно стоящие приборы контроля: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постоянным наблюдением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В -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с периодическим наблюдением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 -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 - шкала приборов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31 Помещения и камеры трансформаторов, реакторов, статических конденсаторов, аккумуляторов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32 Электромашинные помещения: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постоянным дежурством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на щитах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с периодическим пребыванием людей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на щитах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33 Кабельные подвалы, кабельные этажи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34 Этажи шин</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шинах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35 Кабельные шахты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36 Электрощитовые в жилых и общественных зданиях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на щитах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Помещения инженерных сетей и прочие технические помещения</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37 Машинные залы насосных, воздуходувные: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постоянным дежурством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шкала приборов контроля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стол машиниста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без постоянного дежурства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шкала приборов контроля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38 Запорная и регулирующая арматура: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топках, задвижках, вентилях, клапанах, рычагах, затворах, петлях бункеров и т. п.</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То же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39 Площадки и лестницы котлов, экономайзеров, проходы за котлами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 Помещения топливоподачи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41 Помещения дымососов, вентиляторов, бункерное отделение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42 Конденсационные, помещения химводоочистки, бойлерные, деаэраторные, зольные помещения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43 Генераторные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0,3</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0,5</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44 Надбункерные помещения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45 Помещения для кондиционеров, тепловые пункты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46 Компрессорные (блоки, станции, помещения, залы):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постоянным дежурством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 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шкалах приборов, щите управления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Г-0,8 - на столе машиниста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без постоянного дежурства персонала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шкалах приборов, щите управления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47 Вентиляционные помещения и установки: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камеры вентиляторов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отсеки для калориферов и фильтров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48 Галереи и тоннели токопроводов, транспортеров, конвейеров; тоннели: кабельные, теплофикационные, масляные, пульповодов, водопроводные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49 Насосные подземные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 Водонапорные башни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 площадок и лестниц</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51 Помещения воздуходувок и компрессоров, решеток-дробилок, барабанных сеток и микрофильтров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52 Помещения приготовления реагентов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53 Углевальные, фтораторные, хлордозаторные, аммонизаторные, озонаторные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54 Фильтровальные залы: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верхние площадки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нижние и промежуточные площадки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В-1,0 - шкафы управления, задвижки, вентили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55 Песколовки, биофильтры, преаэраторы, аэротенки, отстойники и другие сооружения очистки сточной воды: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зданиях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Поверхность сооружения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Поверхность сооружения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56 Площадки механизмов, шкафов управления, распределительных камер, проходные площадки: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зданиях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57 Помещения вакуум-фильтров, центрифуг, фильтр-прессов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58 Площадки гидроциклонов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59 Помещения сушки осадка (барабанные сушила)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60 Камеры переключения метантенками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В-1,0</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61 Электролизерные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Склады</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62 Склады, кладовые масел, лакокрасочных материалов: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с розливом на складе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без розлива на складе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63 Склады, кладовые химикатов, кислот, щелочей и т. п.</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64 Склады, кладовые: металла; запчастей; ремонтного фонда; готовой продукции деталей, ожидающих ремонта, инструментальные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65 Склады со стеллажным хранением: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экспедиции приема и выдачи груза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2,4</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0,9</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транспортно-распределительные системы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зоны хранилищ:</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ячейках и валах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 на стрелках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66 Склады, кладовые, открытые площадки под навесом</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67 Склады громоздких предметов и сыпучих материалов (песка, цемента и др.)</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68 Грузоподъемные механизмы (кран-балки, тельферы, мостовые краны и т. п.)</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помещении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 - пульт управления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крюк крана; Г - площадки приема и подачи оборудования и деталей</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зданий</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В - пульт управления</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XIII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крюк крана</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площадки приема и подачи оборудования, материалов, деталей</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69 Сливо-наливные эстакады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пол площадки</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горловина цистерны</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70 Помещения сортировки и комплектации грузов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71 Завозные кладовые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72 Рампы: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в здании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вне здания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XV</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73 Дебаркадеры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Пожарные депо</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74 Зоны стоянки подвижного состава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0,7</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 Посты технического обслуживания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76 Аппаратные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77 Пункты связи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15</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1,2</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78 Помещения зарядки регенеративных патронов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79 Помещения сушки рукавов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80 Помещения мойки рукавов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25</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Районные управления по эксплуатации зданий</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81 Диспетчерские пункты</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2,8</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1,8</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0,6</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В-1,5 - пульты, щиты</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Котельные</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82 Помещения котлов: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фронт котлов и бункерное отделение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топках, затворах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⁴</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помещение дымососов и дутьевых вентиляторов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⁴</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площадки и лестницы котлов и экономайзеров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83 Зольное помещение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VIIIб</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84 Мазутонасосная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 ⁴</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85 Угле- и торфоподача: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помещение дробильного отделения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100 ⁴</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узлы пересыпки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вагоноопрокидыватели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конвейеры в галереях</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 конвейеры в цехе (надбункерное отделение)</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 на ленте</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86 Химводоочистка:</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а) помещение предочистки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б) помещение фильтров</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В-1,5</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помещение электродиализной установки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Г-0,8</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VIIIа</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 помещение под баками-нейтрализаторами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Г-0,0 - на полу</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VIIIг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bottom"/>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87 Отдельно стоящие приборы, водомерные и маслоуказательные стекла, требующие постоянного наблюдения</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приборах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IVв</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750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88 Отдельно стоящие приборы, наблюдение за которыми осуществляется эпизодически</w:t>
            </w:r>
          </w:p>
        </w:tc>
        <w:tc>
          <w:tcPr>
            <w:tcW w:w="36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 на приборах</w:t>
            </w:r>
          </w:p>
        </w:tc>
        <w:tc>
          <w:tcPr>
            <w:tcW w:w="25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IVг</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200</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3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1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39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(пп. 82 - 88 введены Изменением N 1, утв. Приказом Минстроя России от 20.11.2019 N 699/пр)</w:t>
            </w:r>
          </w:p>
        </w:tc>
      </w:tr>
      <w:tr w:rsidR="003C0CFF" w:rsidRPr="003C0CFF" w:rsidTr="003C0CFF">
        <w:tc>
          <w:tcPr>
            <w:tcW w:w="3750" w:type="dxa"/>
            <w:gridSpan w:val="11"/>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¹ Отношение вертикальной освещенности к горизонтальной на уровне 1,0 м от покрытия должно быть не менее 1:1,5 по периметру ограждения стоянки.</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² Предусмотреть розетки для переносного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³ Норма дана с учетом переносного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⁴ Освещенность понижена из-за кратковременного пребывания людей в помещении.</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(сноска ⁴ введена Изменением N 1, утв. Приказом Минстроя России от 20.11.2019 N 699/пр)</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 Наличие нормируемых значений освещенности в графах "Освещенность рабочих поверхностей, лк, при комбинированном освещении" и "Освещенность рабочих поверхностей, лк, при общем освещении" указывает на возможность применения одной из этих систем. Предпочтительным является применение совмещенного освещения и системы комбинированного искусственного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 Прочерки в таблице означают отсутствие предъявляемых требований.</w:t>
            </w:r>
          </w:p>
        </w:tc>
      </w:tr>
    </w:tbl>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М. ОПРЕДЕЛЕНИЕ ПОКАЗАТЕЛЯ ОТНОСИТЕЛЬНОЙ УДЕЛЬНОЙ МОЩНОСТИ УСТАНОВКИ УТИЛИТАРНОГО НАРУЖНОГО ОСВЕЩЕНИЯ</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М.1. Относительную удельную мощность </w:t>
      </w:r>
      <w:r w:rsidRPr="003C0CFF">
        <w:rPr>
          <w:rFonts w:eastAsia="Times New Roman" w:cstheme="minorHAnsi"/>
          <w:noProof/>
          <w:color w:val="000000" w:themeColor="text1"/>
          <w:sz w:val="24"/>
          <w:szCs w:val="24"/>
          <w:lang w:eastAsia="ru-RU"/>
        </w:rPr>
        <w:drawing>
          <wp:inline distT="0" distB="0" distL="0" distR="0" wp14:anchorId="345722F4" wp14:editId="0DE4A89C">
            <wp:extent cx="244475" cy="233680"/>
            <wp:effectExtent l="0" t="0" r="3175" b="0"/>
            <wp:docPr id="30" name="Рисунок 30"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Вт·м‾²лк‾¹, определяют для расчетного поля освещенности, выбираемого в соответствии с ГОСТ Р 55708, и рассчитывают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18252478" wp14:editId="63F4C11F">
            <wp:extent cx="1435100" cy="1403350"/>
            <wp:effectExtent l="0" t="0" r="0" b="6350"/>
            <wp:docPr id="29" name="Рисунок 29" descr="https://mobile.olimpoks.ru/Prepare/Doc/1035/5/f6b6ea45-8c63-4ce0-8046-f504baab01c2/i/c4e98894-8639-4bdd-a26f-46a6ad053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mobile.olimpoks.ru/Prepare/Doc/1035/5/f6b6ea45-8c63-4ce0-8046-f504baab01c2/i/c4e98894-8639-4bdd-a26f-46a6ad05363f.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35100" cy="14033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(М.1)</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3FA19E93" wp14:editId="364D3EDA">
            <wp:extent cx="244475" cy="329565"/>
            <wp:effectExtent l="0" t="0" r="3175" b="0"/>
            <wp:docPr id="28" name="Рисунок 28" descr="https://mobile.olimpoks.ru/Prepare/Doc/1035/5/f6b6ea45-8c63-4ce0-8046-f504baab01c2/i/24ab38de-76db-42d3-997e-23d855e7a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mobile.olimpoks.ru/Prepare/Doc/1035/5/f6b6ea45-8c63-4ce0-8046-f504baab01c2/i/24ab38de-76db-42d3-997e-23d855e7acd4.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447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мощность </w:t>
      </w:r>
      <w:r w:rsidRPr="003C0CFF">
        <w:rPr>
          <w:rFonts w:eastAsia="Times New Roman" w:cstheme="minorHAnsi"/>
          <w:noProof/>
          <w:color w:val="000000" w:themeColor="text1"/>
          <w:sz w:val="24"/>
          <w:szCs w:val="24"/>
          <w:lang w:eastAsia="ru-RU"/>
        </w:rPr>
        <w:drawing>
          <wp:inline distT="0" distB="0" distL="0" distR="0" wp14:anchorId="4C70F5AE" wp14:editId="248DEECD">
            <wp:extent cx="361315" cy="393700"/>
            <wp:effectExtent l="0" t="0" r="635" b="6350"/>
            <wp:docPr id="27" name="Рисунок 27" descr="https://mobile.olimpoks.ru/Prepare/Doc/1035/5/f6b6ea45-8c63-4ce0-8046-f504baab01c2/i/83d015ac-6d30-4dbe-82b6-c20fa1ebc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mobile.olimpoks.ru/Prepare/Doc/1035/5/f6b6ea45-8c63-4ce0-8046-f504baab01c2/i/83d015ac-6d30-4dbe-82b6-c20fa1ebcf1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315" cy="39370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светильника, отнесенного к выбранному расчетному полю, Вт;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m - число светильников, отнесенных к выбранному расчетному полю;</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740EF919" wp14:editId="7D7730FC">
            <wp:extent cx="223520" cy="351155"/>
            <wp:effectExtent l="0" t="0" r="5080" b="0"/>
            <wp:docPr id="26" name="Рисунок 26" descr="https://mobile.olimpoks.ru/Prepare/Doc/1035/5/f6b6ea45-8c63-4ce0-8046-f504baab01c2/i/8f6d2c57-26fd-4947-8cb7-f77c40c53f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mobile.olimpoks.ru/Prepare/Doc/1035/5/f6b6ea45-8c63-4ce0-8046-f504baab01c2/i/8f6d2c57-26fd-4947-8cb7-f77c40c53f3e.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352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расчетное значение средней освещенности на поверхности </w:t>
      </w:r>
      <w:r w:rsidRPr="003C0CFF">
        <w:rPr>
          <w:rFonts w:eastAsia="Times New Roman" w:cstheme="minorHAnsi"/>
          <w:noProof/>
          <w:color w:val="000000" w:themeColor="text1"/>
          <w:sz w:val="24"/>
          <w:szCs w:val="24"/>
          <w:lang w:eastAsia="ru-RU"/>
        </w:rPr>
        <w:drawing>
          <wp:inline distT="0" distB="0" distL="0" distR="0" wp14:anchorId="609F2BF4" wp14:editId="55662BF2">
            <wp:extent cx="308610" cy="488950"/>
            <wp:effectExtent l="0" t="0" r="0" b="6350"/>
            <wp:docPr id="25" name="Рисунок 25"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элемента учетного поля,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BB0C9DD" wp14:editId="583D1327">
            <wp:extent cx="266065" cy="287020"/>
            <wp:effectExtent l="0" t="0" r="635" b="0"/>
            <wp:docPr id="24" name="Рисунок 24" descr="https://mobile.olimpoks.ru/Prepare/Doc/1035/5/f6b6ea45-8c63-4ce0-8046-f504baab01c2/i/4cacf64c-1206-43fe-8ebe-26184b3f3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mobile.olimpoks.ru/Prepare/Doc/1035/5/f6b6ea45-8c63-4ce0-8046-f504baab01c2/i/4cacf64c-1206-43fe-8ebe-26184b3f3d7b.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площадь </w:t>
      </w:r>
      <w:r w:rsidRPr="003C0CFF">
        <w:rPr>
          <w:rFonts w:eastAsia="Times New Roman" w:cstheme="minorHAnsi"/>
          <w:noProof/>
          <w:color w:val="000000" w:themeColor="text1"/>
          <w:sz w:val="24"/>
          <w:szCs w:val="24"/>
          <w:lang w:eastAsia="ru-RU"/>
        </w:rPr>
        <w:drawing>
          <wp:inline distT="0" distB="0" distL="0" distR="0" wp14:anchorId="3A14A047" wp14:editId="445586DB">
            <wp:extent cx="308610" cy="488950"/>
            <wp:effectExtent l="0" t="0" r="0" b="6350"/>
            <wp:docPr id="23" name="Рисунок 23" descr="https://mobile.olimpoks.ru/Prepare/Doc/1035/5/f6b6ea45-8c63-4ce0-8046-f504baab01c2/i/a70ec142-e0a6-4e04-b8b9-6c13a92a0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mobile.olimpoks.ru/Prepare/Doc/1035/5/f6b6ea45-8c63-4ce0-8046-f504baab01c2/i/a70ec142-e0a6-4e04-b8b9-6c13a92a0e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48895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-го элемента расчетного поля, м²;</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n - число элементов расчетного поля, учитываемых в расчете.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Примечание: при определении величины </w:t>
      </w:r>
      <w:r w:rsidRPr="003C0CFF">
        <w:rPr>
          <w:rFonts w:eastAsia="Times New Roman" w:cstheme="minorHAnsi"/>
          <w:noProof/>
          <w:color w:val="000000" w:themeColor="text1"/>
          <w:sz w:val="24"/>
          <w:szCs w:val="24"/>
          <w:lang w:eastAsia="ru-RU"/>
        </w:rPr>
        <w:drawing>
          <wp:inline distT="0" distB="0" distL="0" distR="0" wp14:anchorId="202348D7" wp14:editId="04AE2C50">
            <wp:extent cx="244475" cy="233680"/>
            <wp:effectExtent l="0" t="0" r="3175" b="0"/>
            <wp:docPr id="22" name="Рисунок 22"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используют величину средней освещенности </w:t>
      </w:r>
      <w:r w:rsidRPr="003C0CFF">
        <w:rPr>
          <w:rFonts w:eastAsia="Times New Roman" w:cstheme="minorHAnsi"/>
          <w:noProof/>
          <w:color w:val="000000" w:themeColor="text1"/>
          <w:sz w:val="24"/>
          <w:szCs w:val="24"/>
          <w:lang w:eastAsia="ru-RU"/>
        </w:rPr>
        <w:drawing>
          <wp:inline distT="0" distB="0" distL="0" distR="0" wp14:anchorId="28E6A220" wp14:editId="32E66DC8">
            <wp:extent cx="223520" cy="351155"/>
            <wp:effectExtent l="0" t="0" r="5080" b="0"/>
            <wp:docPr id="21" name="Рисунок 21" descr="https://mobile.olimpoks.ru/Prepare/Doc/1035/5/f6b6ea45-8c63-4ce0-8046-f504baab01c2/i/8f6d2c57-26fd-4947-8cb7-f77c40c53f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mobile.olimpoks.ru/Prepare/Doc/1035/5/f6b6ea45-8c63-4ce0-8046-f504baab01c2/i/8f6d2c57-26fd-4947-8cb7-f77c40c53f3e.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352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независимо от того, какая величина - средняя яркость или средняя освещенность - была выбрана в качестве основной при проектировании освещения данного объекта.</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участка дороги или улицы со стандартной геометрией величина m равна суммарному числу светильников, установленных на одной опоре (для односторонней или центральной схемы расположения опор) или двух опорах (для двусторонней или шахматной схемы расположения опор).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участка улично-дорожной сети с нестандартной геометрией величина m равна суммарному числу светильников, освещающих такой участок.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качестве примера на рисунке М.1 показан участок улицы, содержащий двухполосную проезжую часть и два тротуара, отделенные от нее полосами газона. Светильники расположены по односторонней схеме (справа по ходу движения транспорта) и установлены по два на каждой опоре: один направлен на проезжую часть, другой - на ближний тротуар. Между двумя соседними опорами выделено расчетное поле, содержащее три элемента (проезжую часть, левый и правый тротуары) с нанесенными расчетными точками, по которым определяют значения средней освещенности </w:t>
      </w:r>
      <w:r w:rsidRPr="003C0CFF">
        <w:rPr>
          <w:rFonts w:eastAsia="Times New Roman" w:cstheme="minorHAnsi"/>
          <w:noProof/>
          <w:color w:val="000000" w:themeColor="text1"/>
          <w:sz w:val="24"/>
          <w:szCs w:val="24"/>
          <w:lang w:eastAsia="ru-RU"/>
        </w:rPr>
        <w:drawing>
          <wp:inline distT="0" distB="0" distL="0" distR="0" wp14:anchorId="4D0E686C" wp14:editId="3CC8DE1D">
            <wp:extent cx="223520" cy="351155"/>
            <wp:effectExtent l="0" t="0" r="5080" b="0"/>
            <wp:docPr id="20" name="Рисунок 20" descr="https://mobile.olimpoks.ru/Prepare/Doc/1035/5/f6b6ea45-8c63-4ce0-8046-f504baab01c2/i/8f6d2c57-26fd-4947-8cb7-f77c40c53f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mobile.olimpoks.ru/Prepare/Doc/1035/5/f6b6ea45-8c63-4ce0-8046-f504baab01c2/i/8f6d2c57-26fd-4947-8cb7-f77c40c53f3e.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3520" cy="35115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каждого элемента.</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0FDC113" wp14:editId="21E4B4C5">
            <wp:extent cx="5465445" cy="3509010"/>
            <wp:effectExtent l="0" t="0" r="1905" b="0"/>
            <wp:docPr id="19" name="Рисунок 19" descr="https://mobile.olimpoks.ru/Prepare/Doc/1035/5/f6b6ea45-8c63-4ce0-8046-f504baab01c2/i/28366f49-adfd-49f3-a0c9-37b4be76da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mobile.olimpoks.ru/Prepare/Doc/1035/5/f6b6ea45-8c63-4ce0-8046-f504baab01c2/i/28366f49-adfd-49f3-a0c9-37b4be76daac.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65445" cy="350901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М.1. Пример участка улицы для определения показателя </w:t>
      </w:r>
      <w:r w:rsidRPr="003C0CFF">
        <w:rPr>
          <w:rFonts w:eastAsia="Times New Roman" w:cstheme="minorHAnsi"/>
          <w:noProof/>
          <w:color w:val="000000" w:themeColor="text1"/>
          <w:sz w:val="24"/>
          <w:szCs w:val="24"/>
          <w:lang w:eastAsia="ru-RU"/>
        </w:rPr>
        <w:drawing>
          <wp:inline distT="0" distB="0" distL="0" distR="0" wp14:anchorId="5DF7AC41" wp14:editId="019811EC">
            <wp:extent cx="244475" cy="233680"/>
            <wp:effectExtent l="0" t="0" r="3175" b="0"/>
            <wp:docPr id="18" name="Рисунок 18"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41F42D80" wp14:editId="4F826C21">
            <wp:extent cx="318770" cy="233680"/>
            <wp:effectExtent l="0" t="0" r="5080" b="0"/>
            <wp:docPr id="17" name="Рисунок 17" descr="https://mobile.olimpoks.ru/Prepare/Doc/1035/5/f6b6ea45-8c63-4ce0-8046-f504baab01c2/i/63ba7ce7-a3fc-43f2-8045-46fb211ff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mobile.olimpoks.ru/Prepare/Doc/1035/5/f6b6ea45-8c63-4ce0-8046-f504baab01c2/i/63ba7ce7-a3fc-43f2-8045-46fb211ff346.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597B111E" wp14:editId="614C91A6">
            <wp:extent cx="318770" cy="212725"/>
            <wp:effectExtent l="0" t="0" r="5080" b="0"/>
            <wp:docPr id="16" name="Рисунок 16" descr="https://mobile.olimpoks.ru/Prepare/Doc/1035/5/f6b6ea45-8c63-4ce0-8046-f504baab01c2/i/321cd3b3-106e-47d7-95df-401dc33aa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mobile.olimpoks.ru/Prepare/Doc/1035/5/f6b6ea45-8c63-4ce0-8046-f504baab01c2/i/321cd3b3-106e-47d7-95df-401dc33aa53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и </w:t>
      </w:r>
      <w:r w:rsidRPr="003C0CFF">
        <w:rPr>
          <w:rFonts w:eastAsia="Times New Roman" w:cstheme="minorHAnsi"/>
          <w:noProof/>
          <w:color w:val="000000" w:themeColor="text1"/>
          <w:sz w:val="24"/>
          <w:szCs w:val="24"/>
          <w:lang w:eastAsia="ru-RU"/>
        </w:rPr>
        <w:drawing>
          <wp:inline distT="0" distB="0" distL="0" distR="0" wp14:anchorId="517C80C5" wp14:editId="3064DBE3">
            <wp:extent cx="372110" cy="223520"/>
            <wp:effectExtent l="0" t="0" r="8890" b="5080"/>
            <wp:docPr id="15" name="Рисунок 15" descr="https://mobile.olimpoks.ru/Prepare/Doc/1035/5/f6b6ea45-8c63-4ce0-8046-f504baab01c2/i/af295d76-316e-405b-a8d1-ab3cbf31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mobile.olimpoks.ru/Prepare/Doc/1035/5/f6b6ea45-8c63-4ce0-8046-f504baab01c2/i/af295d76-316e-405b-a8d1-ab3cbf31016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211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элементы расчетного поля: проезжая часть, левый и правый тротуары улицы соответственно; </w:t>
      </w:r>
      <w:r w:rsidRPr="003C0CFF">
        <w:rPr>
          <w:rFonts w:eastAsia="Times New Roman" w:cstheme="minorHAnsi"/>
          <w:noProof/>
          <w:color w:val="000000" w:themeColor="text1"/>
          <w:sz w:val="24"/>
          <w:szCs w:val="24"/>
          <w:lang w:eastAsia="ru-RU"/>
        </w:rPr>
        <w:drawing>
          <wp:inline distT="0" distB="0" distL="0" distR="0" wp14:anchorId="28545088" wp14:editId="45A24CAB">
            <wp:extent cx="255270" cy="244475"/>
            <wp:effectExtent l="0" t="0" r="0" b="3175"/>
            <wp:docPr id="14" name="Рисунок 14" descr="https://mobile.olimpoks.ru/Prepare/Doc/1035/5/f6b6ea45-8c63-4ce0-8046-f504baab01c2/i/5efc9c44-9484-44ea-b440-898f1a7b5d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mobile.olimpoks.ru/Prepare/Doc/1035/5/f6b6ea45-8c63-4ce0-8046-f504baab01c2/i/5efc9c44-9484-44ea-b440-898f1a7b5d2d.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7E641F19" wp14:editId="620A0042">
            <wp:extent cx="223520" cy="212725"/>
            <wp:effectExtent l="0" t="0" r="5080" b="0"/>
            <wp:docPr id="13" name="Рисунок 13" descr="https://mobile.olimpoks.ru/Prepare/Doc/1035/5/f6b6ea45-8c63-4ce0-8046-f504baab01c2/i/5b7dda5a-ac82-4737-a07f-81365ebd0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mobile.olimpoks.ru/Prepare/Doc/1035/5/f6b6ea45-8c63-4ce0-8046-f504baab01c2/i/5b7dda5a-ac82-4737-a07f-81365ebd034e.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светильники, направленные на проезжую часть и правый тротуар соответственно; l - полосы газона; "x" - расчетные точки на расчетном поле</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Для приведенного на рисунке М.1 примера показатель </w:t>
      </w:r>
      <w:r w:rsidRPr="003C0CFF">
        <w:rPr>
          <w:rFonts w:eastAsia="Times New Roman" w:cstheme="minorHAnsi"/>
          <w:noProof/>
          <w:color w:val="000000" w:themeColor="text1"/>
          <w:sz w:val="24"/>
          <w:szCs w:val="24"/>
          <w:lang w:eastAsia="ru-RU"/>
        </w:rPr>
        <w:drawing>
          <wp:inline distT="0" distB="0" distL="0" distR="0" wp14:anchorId="34B8DFAF" wp14:editId="336A1225">
            <wp:extent cx="244475" cy="233680"/>
            <wp:effectExtent l="0" t="0" r="3175" b="0"/>
            <wp:docPr id="12" name="Рисунок 12" descr="https://mobile.olimpoks.ru/Prepare/Doc/1035/5/f6b6ea45-8c63-4ce0-8046-f504baab01c2/i/cf497e4d-7298-464d-8de0-f19cfc97f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mobile.olimpoks.ru/Prepare/Doc/1035/5/f6b6ea45-8c63-4ce0-8046-f504baab01c2/i/cf497e4d-7298-464d-8de0-f19cfc97f4e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рассчитывают по формуле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0746D98E" wp14:editId="4414D455">
            <wp:extent cx="3115310" cy="765810"/>
            <wp:effectExtent l="0" t="0" r="8890" b="0"/>
            <wp:docPr id="11" name="Рисунок 11" descr="https://mobile.olimpoks.ru/Prepare/Doc/1035/5/f6b6ea45-8c63-4ce0-8046-f504baab01c2/i/3e415f80-b85e-4a20-88b6-8afbf9759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mobile.olimpoks.ru/Prepare/Doc/1035/5/f6b6ea45-8c63-4ce0-8046-f504baab01c2/i/3e415f80-b85e-4a20-88b6-8afbf97592d0.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15310" cy="76581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(М.2)</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где </w:t>
      </w:r>
      <w:r w:rsidRPr="003C0CFF">
        <w:rPr>
          <w:rFonts w:eastAsia="Times New Roman" w:cstheme="minorHAnsi"/>
          <w:noProof/>
          <w:color w:val="000000" w:themeColor="text1"/>
          <w:sz w:val="24"/>
          <w:szCs w:val="24"/>
          <w:lang w:eastAsia="ru-RU"/>
        </w:rPr>
        <w:drawing>
          <wp:inline distT="0" distB="0" distL="0" distR="0" wp14:anchorId="6E22A01C" wp14:editId="41654D34">
            <wp:extent cx="255270" cy="244475"/>
            <wp:effectExtent l="0" t="0" r="0" b="3175"/>
            <wp:docPr id="10" name="Рисунок 10" descr="https://mobile.olimpoks.ru/Prepare/Doc/1035/5/f6b6ea45-8c63-4ce0-8046-f504baab01c2/i/5efc9c44-9484-44ea-b440-898f1a7b5d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mobile.olimpoks.ru/Prepare/Doc/1035/5/f6b6ea45-8c63-4ce0-8046-f504baab01c2/i/5efc9c44-9484-44ea-b440-898f1a7b5d2d.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664FA79E" wp14:editId="18DE4F8A">
            <wp:extent cx="223520" cy="212725"/>
            <wp:effectExtent l="0" t="0" r="5080" b="0"/>
            <wp:docPr id="9" name="Рисунок 9" descr="https://mobile.olimpoks.ru/Prepare/Doc/1035/5/f6b6ea45-8c63-4ce0-8046-f504baab01c2/i/5b7dda5a-ac82-4737-a07f-81365ebd0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mobile.olimpoks.ru/Prepare/Doc/1035/5/f6b6ea45-8c63-4ce0-8046-f504baab01c2/i/5b7dda5a-ac82-4737-a07f-81365ebd034e.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мощности соответствующих светильников, Вт;</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239E0D45" wp14:editId="016FC306">
            <wp:extent cx="276225" cy="329565"/>
            <wp:effectExtent l="0" t="0" r="9525" b="0"/>
            <wp:docPr id="8" name="Рисунок 8" descr="https://mobile.olimpoks.ru/Prepare/Doc/1035/5/f6b6ea45-8c63-4ce0-8046-f504baab01c2/i/5928ea5d-3c1f-4ea0-a71d-44b1d3733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mobile.olimpoks.ru/Prepare/Doc/1035/5/f6b6ea45-8c63-4ce0-8046-f504baab01c2/i/5928ea5d-3c1f-4ea0-a71d-44b1d3733640.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622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37995E13" wp14:editId="11BACEC8">
            <wp:extent cx="351155" cy="318770"/>
            <wp:effectExtent l="0" t="0" r="0" b="5080"/>
            <wp:docPr id="7" name="Рисунок 7" descr="https://mobile.olimpoks.ru/Prepare/Doc/1035/5/f6b6ea45-8c63-4ce0-8046-f504baab01c2/i/69af09fd-4459-4fb3-b475-b4407a393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mobile.olimpoks.ru/Prepare/Doc/1035/5/f6b6ea45-8c63-4ce0-8046-f504baab01c2/i/69af09fd-4459-4fb3-b475-b4407a393362.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1155" cy="31877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469B7F5C" wp14:editId="5671C8CF">
            <wp:extent cx="361315" cy="329565"/>
            <wp:effectExtent l="0" t="0" r="635" b="0"/>
            <wp:docPr id="6" name="Рисунок 6" descr="https://mobile.olimpoks.ru/Prepare/Doc/1035/5/f6b6ea45-8c63-4ce0-8046-f504baab01c2/i/390a07f4-3e09-46c5-b46f-2dd65fc3a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mobile.olimpoks.ru/Prepare/Doc/1035/5/f6b6ea45-8c63-4ce0-8046-f504baab01c2/i/390a07f4-3e09-46c5-b46f-2dd65fc3a6d4.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расчетные значения средней освещенности на поверхности проезжей части, левого и правого тротуаров соответственно, лк;</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631859D" wp14:editId="14DFBEC4">
            <wp:extent cx="318770" cy="233680"/>
            <wp:effectExtent l="0" t="0" r="5080" b="0"/>
            <wp:docPr id="5" name="Рисунок 5" descr="https://mobile.olimpoks.ru/Prepare/Doc/1035/5/f6b6ea45-8c63-4ce0-8046-f504baab01c2/i/63ba7ce7-a3fc-43f2-8045-46fb211ff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mobile.olimpoks.ru/Prepare/Doc/1035/5/f6b6ea45-8c63-4ce0-8046-f504baab01c2/i/63ba7ce7-a3fc-43f2-8045-46fb211ff346.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w:t>
      </w:r>
      <w:r w:rsidRPr="003C0CFF">
        <w:rPr>
          <w:rFonts w:eastAsia="Times New Roman" w:cstheme="minorHAnsi"/>
          <w:noProof/>
          <w:color w:val="000000" w:themeColor="text1"/>
          <w:sz w:val="24"/>
          <w:szCs w:val="24"/>
          <w:lang w:eastAsia="ru-RU"/>
        </w:rPr>
        <w:drawing>
          <wp:inline distT="0" distB="0" distL="0" distR="0" wp14:anchorId="66A619CD" wp14:editId="0D38BAF2">
            <wp:extent cx="318770" cy="212725"/>
            <wp:effectExtent l="0" t="0" r="5080" b="0"/>
            <wp:docPr id="4" name="Рисунок 4" descr="https://mobile.olimpoks.ru/Prepare/Doc/1035/5/f6b6ea45-8c63-4ce0-8046-f504baab01c2/i/321cd3b3-106e-47d7-95df-401dc33aa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mobile.olimpoks.ru/Prepare/Doc/1035/5/f6b6ea45-8c63-4ce0-8046-f504baab01c2/i/321cd3b3-106e-47d7-95df-401dc33aa53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и </w:t>
      </w:r>
      <w:r w:rsidRPr="003C0CFF">
        <w:rPr>
          <w:rFonts w:eastAsia="Times New Roman" w:cstheme="minorHAnsi"/>
          <w:noProof/>
          <w:color w:val="000000" w:themeColor="text1"/>
          <w:sz w:val="24"/>
          <w:szCs w:val="24"/>
          <w:lang w:eastAsia="ru-RU"/>
        </w:rPr>
        <w:drawing>
          <wp:inline distT="0" distB="0" distL="0" distR="0" wp14:anchorId="546897DA" wp14:editId="4B965A0A">
            <wp:extent cx="372110" cy="223520"/>
            <wp:effectExtent l="0" t="0" r="8890" b="5080"/>
            <wp:docPr id="3" name="Рисунок 3" descr="https://mobile.olimpoks.ru/Prepare/Doc/1035/5/f6b6ea45-8c63-4ce0-8046-f504baab01c2/i/af295d76-316e-405b-a8d1-ab3cbf31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mobile.olimpoks.ru/Prepare/Doc/1035/5/f6b6ea45-8c63-4ce0-8046-f504baab01c2/i/af295d76-316e-405b-a8d1-ab3cbf31016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2110" cy="223520"/>
                    </a:xfrm>
                    <a:prstGeom prst="rect">
                      <a:avLst/>
                    </a:prstGeom>
                    <a:noFill/>
                    <a:ln>
                      <a:noFill/>
                    </a:ln>
                  </pic:spPr>
                </pic:pic>
              </a:graphicData>
            </a:graphic>
          </wp:inline>
        </w:drawing>
      </w:r>
      <w:r w:rsidRPr="003C0CFF">
        <w:rPr>
          <w:rFonts w:eastAsia="Times New Roman" w:cstheme="minorHAnsi"/>
          <w:color w:val="000000" w:themeColor="text1"/>
          <w:sz w:val="24"/>
          <w:szCs w:val="24"/>
          <w:lang w:eastAsia="ru-RU"/>
        </w:rPr>
        <w:t> - площади соответствующих элементов расчетного поля, м².</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Н. ОПРЕДЕЛЕНИЕ НАПРАВЛЕНИЙ ОГРАНИЧЕНИЯ СИЛЫ СВЕТА УКАЗАТЕЛЕЙ В АВТОДОРОЖНОМ ТОННЕЛЕ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Направления, по которым ограничивается сила света световых эвакуационных указателей, лежат внутри конуса с раскрытием 2 x 15° относительно линии зрения водителя в пределах шага расстановки эвакуационных указателей. На рисунке Н.1 показаны (в плане) области ограничения силы света I указателей направления эвакуации.</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62091549" wp14:editId="118281B1">
            <wp:extent cx="8601710" cy="2286000"/>
            <wp:effectExtent l="0" t="0" r="8890" b="0"/>
            <wp:docPr id="2" name="Рисунок 2" descr="https://mobile.olimpoks.ru/Prepare/Doc/1035/5/f6b6ea45-8c63-4ce0-8046-f504baab01c2/i/52cbab9f-8bae-411b-89f0-523ed3322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mobile.olimpoks.ru/Prepare/Doc/1035/5/f6b6ea45-8c63-4ce0-8046-f504baab01c2/i/52cbab9f-8bae-411b-89f0-523ed3322aa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601710" cy="228600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Н.1</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ПРИЛОЖЕНИЕ П. ПРИМЕР РАСПОЛОЖЕНИЯ СИГНАЛЬНЫХ ОГНЕЙ В АВТОДОРОЖНОМ ТОННЕЛЕ</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p w:rsidR="003C0CFF" w:rsidRPr="003C0CFF" w:rsidRDefault="003C0CFF" w:rsidP="003C0CFF">
      <w:pPr>
        <w:shd w:val="clear" w:color="auto" w:fill="FFFFFF"/>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Пример расположения сигнальных огней относительно эвакуационного выхода показан на рисунке П.1.</w:t>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noProof/>
          <w:color w:val="000000" w:themeColor="text1"/>
          <w:sz w:val="24"/>
          <w:szCs w:val="24"/>
          <w:lang w:eastAsia="ru-RU"/>
        </w:rPr>
        <w:drawing>
          <wp:inline distT="0" distB="0" distL="0" distR="0" wp14:anchorId="56B6138E" wp14:editId="22190787">
            <wp:extent cx="6007100" cy="3796030"/>
            <wp:effectExtent l="0" t="0" r="0" b="0"/>
            <wp:docPr id="1" name="Рисунок 1" descr="https://mobile.olimpoks.ru/Prepare/Doc/1035/5/f6b6ea45-8c63-4ce0-8046-f504baab01c2/i/4a8c0569-36c6-4acd-9391-b611181c5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mobile.olimpoks.ru/Prepare/Doc/1035/5/f6b6ea45-8c63-4ce0-8046-f504baab01c2/i/4a8c0569-36c6-4acd-9391-b611181c5887.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007100" cy="3796030"/>
                    </a:xfrm>
                    <a:prstGeom prst="rect">
                      <a:avLst/>
                    </a:prstGeom>
                    <a:noFill/>
                    <a:ln>
                      <a:noFill/>
                    </a:ln>
                  </pic:spPr>
                </pic:pic>
              </a:graphicData>
            </a:graphic>
          </wp:inline>
        </w:drawing>
      </w:r>
    </w:p>
    <w:p w:rsidR="003C0CFF" w:rsidRPr="003C0CFF" w:rsidRDefault="003C0CFF" w:rsidP="003C0CFF">
      <w:pPr>
        <w:shd w:val="clear" w:color="auto" w:fill="FFFFFF"/>
        <w:spacing w:before="120" w:after="120" w:line="240" w:lineRule="auto"/>
        <w:jc w:val="center"/>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Рис. П.1</w:t>
      </w:r>
    </w:p>
    <w:p w:rsidR="003C0CFF" w:rsidRPr="003C0CFF" w:rsidRDefault="003C0CFF" w:rsidP="003C0CFF">
      <w:pPr>
        <w:shd w:val="clear" w:color="auto" w:fill="FFFFFF"/>
        <w:spacing w:before="120" w:after="120" w:line="240" w:lineRule="auto"/>
        <w:jc w:val="center"/>
        <w:outlineLvl w:val="0"/>
        <w:rPr>
          <w:rFonts w:eastAsia="Times New Roman" w:cstheme="minorHAnsi"/>
          <w:b/>
          <w:bCs/>
          <w:color w:val="000000" w:themeColor="text1"/>
          <w:kern w:val="36"/>
          <w:sz w:val="24"/>
          <w:szCs w:val="24"/>
          <w:lang w:eastAsia="ru-RU"/>
        </w:rPr>
      </w:pPr>
      <w:r w:rsidRPr="003C0CFF">
        <w:rPr>
          <w:rFonts w:eastAsia="Times New Roman" w:cstheme="minorHAnsi"/>
          <w:b/>
          <w:bCs/>
          <w:color w:val="000000" w:themeColor="text1"/>
          <w:kern w:val="36"/>
          <w:sz w:val="24"/>
          <w:szCs w:val="24"/>
          <w:lang w:eastAsia="ru-RU"/>
        </w:rPr>
        <w:t>БИБЛИОГРАФИЯ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5"/>
        <w:gridCol w:w="6870"/>
      </w:tblGrid>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[1]</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[2]</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Федеральный закон от 25 июня 2002 г. N 73-ФЗ "Об объектах культурного наследия (памятниках истории и культуры) народов Российской Федерации"</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[3]</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Федеральный закон от 22 июля 2008 года N 123-ФЗ "Технический регламент о требованиях пожарной безопасности"</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[4]</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Постановление Правительства Российской Федерации от 10 ноября 2017 г. N 1356 "Об утверждении требований к осветительным устройствам и электрическим лампам, используемым в цепях переменного тока в целях освещения</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 ред. Изменения N 1, утв. Приказом Минстроя России от 20.11.2019 N 699/пр)</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[5]</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МУ 5046-89. Профилактическое ультрафиолетовое облучение людей (с применением искусственных источников ультрафиолетового излучения)</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[6]</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исключена с 21.05.2020. - Изменение N 1, утв. Приказом Минстроя России от 20.11.2019 N 699/пр.</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[7]</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ПУЭ. Правила устройства электроустановок (6-е, 7-е изд.)</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(в ред. Изменения N 1, утв. Приказом Минстроя России от 20.11.2019 N 699/пр)</w:t>
            </w:r>
          </w:p>
        </w:tc>
      </w:tr>
      <w:tr w:rsidR="003C0CFF" w:rsidRPr="003C0CFF" w:rsidTr="003C0CFF">
        <w:tc>
          <w:tcPr>
            <w:tcW w:w="495"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[8]</w:t>
            </w:r>
          </w:p>
        </w:tc>
        <w:tc>
          <w:tcPr>
            <w:tcW w:w="6870" w:type="dxa"/>
            <w:tcBorders>
              <w:top w:val="nil"/>
              <w:left w:val="nil"/>
              <w:bottom w:val="nil"/>
              <w:right w:val="nil"/>
            </w:tcBorders>
            <w:shd w:val="clear" w:color="auto" w:fill="FFFFFF"/>
            <w:tcMar>
              <w:top w:w="0" w:type="dxa"/>
              <w:left w:w="0" w:type="dxa"/>
              <w:bottom w:w="0" w:type="dxa"/>
              <w:right w:w="0" w:type="dxa"/>
            </w:tcMar>
            <w:hideMark/>
          </w:tcPr>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ПДД РФ. Правила дорожного движения Российской Федерации (утверждены постановлением Совета Министров - Правительства Российской Федерации от 23 октября 1993 г. N 1090)</w:t>
            </w:r>
          </w:p>
          <w:p w:rsidR="003C0CFF" w:rsidRPr="003C0CFF" w:rsidRDefault="003C0CFF" w:rsidP="003C0CFF">
            <w:pPr>
              <w:spacing w:before="120" w:after="120" w:line="240" w:lineRule="auto"/>
              <w:rPr>
                <w:rFonts w:eastAsia="Times New Roman" w:cstheme="minorHAnsi"/>
                <w:color w:val="000000" w:themeColor="text1"/>
                <w:sz w:val="24"/>
                <w:szCs w:val="24"/>
                <w:lang w:eastAsia="ru-RU"/>
              </w:rPr>
            </w:pPr>
            <w:r w:rsidRPr="003C0CFF">
              <w:rPr>
                <w:rFonts w:eastAsia="Times New Roman" w:cstheme="minorHAnsi"/>
                <w:color w:val="000000" w:themeColor="text1"/>
                <w:sz w:val="24"/>
                <w:szCs w:val="24"/>
                <w:lang w:eastAsia="ru-RU"/>
              </w:rPr>
              <w:t>(ссылка введена Изменением N 1, утв. Приказом Минстроя России от 20.11.2019 N 699/пр)</w:t>
            </w:r>
          </w:p>
        </w:tc>
      </w:tr>
    </w:tbl>
    <w:p w:rsidR="003E11B8" w:rsidRPr="003C0CFF" w:rsidRDefault="003E11B8" w:rsidP="003C0CFF">
      <w:pPr>
        <w:spacing w:before="120" w:after="120" w:line="240" w:lineRule="auto"/>
        <w:rPr>
          <w:rFonts w:cstheme="minorHAnsi"/>
          <w:color w:val="000000" w:themeColor="text1"/>
          <w:sz w:val="24"/>
          <w:szCs w:val="24"/>
        </w:rPr>
      </w:pPr>
    </w:p>
    <w:sectPr w:rsidR="003E11B8" w:rsidRPr="003C0CFF" w:rsidSect="004F5E63">
      <w:footerReference w:type="default" r:id="rId2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378" w:rsidRDefault="00703378" w:rsidP="008F3F40">
      <w:pPr>
        <w:spacing w:after="0" w:line="240" w:lineRule="auto"/>
      </w:pPr>
      <w:r>
        <w:separator/>
      </w:r>
    </w:p>
  </w:endnote>
  <w:endnote w:type="continuationSeparator" w:id="0">
    <w:p w:rsidR="00703378" w:rsidRDefault="00703378" w:rsidP="008F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F40" w:rsidRPr="008F3F40" w:rsidRDefault="008F3F40" w:rsidP="008F3F40">
    <w:pPr>
      <w:tabs>
        <w:tab w:val="center" w:pos="4677"/>
        <w:tab w:val="right" w:pos="9355"/>
      </w:tabs>
      <w:spacing w:after="0" w:line="240" w:lineRule="auto"/>
      <w:jc w:val="center"/>
      <w:rPr>
        <w:rFonts w:ascii="Times New Roman" w:eastAsia="Times New Roman" w:hAnsi="Times New Roman"/>
        <w:sz w:val="24"/>
        <w:szCs w:val="24"/>
        <w:lang w:eastAsia="x-none"/>
      </w:rPr>
    </w:pPr>
    <w:r>
      <w:rPr>
        <w:rFonts w:ascii="Times New Roman" w:eastAsia="Times New Roman" w:hAnsi="Times New Roman"/>
        <w:sz w:val="24"/>
        <w:szCs w:val="24"/>
        <w:lang w:val="en-US" w:eastAsia="x-none"/>
      </w:rPr>
      <w:t>prombez</w:t>
    </w:r>
    <w:r>
      <w:rPr>
        <w:rFonts w:ascii="Times New Roman" w:eastAsia="Times New Roman" w:hAnsi="Times New Roman"/>
        <w:sz w:val="24"/>
        <w:szCs w:val="24"/>
        <w:lang w:val="x-none" w:eastAsia="x-none"/>
      </w:rPr>
      <w:t>24.</w:t>
    </w:r>
    <w:r>
      <w:rPr>
        <w:rFonts w:ascii="Times New Roman" w:eastAsia="Times New Roman" w:hAnsi="Times New Roman"/>
        <w:sz w:val="24"/>
        <w:szCs w:val="24"/>
        <w:lang w:val="en-US" w:eastAsia="x-none"/>
      </w:rPr>
      <w:t>com</w:t>
    </w:r>
    <w:r>
      <w:rPr>
        <w:rFonts w:ascii="Times New Roman" w:eastAsia="Times New Roman" w:hAnsi="Times New Roman"/>
        <w:sz w:val="24"/>
        <w:szCs w:val="24"/>
        <w:lang w:val="x-none" w:eastAsia="x-none"/>
      </w:rPr>
      <w:t xml:space="preserve"> – </w:t>
    </w:r>
    <w:r>
      <w:rPr>
        <w:rFonts w:ascii="Times New Roman" w:eastAsia="Times New Roman" w:hAnsi="Times New Roman"/>
        <w:sz w:val="24"/>
        <w:szCs w:val="24"/>
        <w:lang w:eastAsia="x-none"/>
      </w:rPr>
      <w:t>бесплатная база НПА,</w:t>
    </w:r>
    <w:r>
      <w:rPr>
        <w:rFonts w:ascii="Times New Roman" w:eastAsia="Times New Roman" w:hAnsi="Times New Roman"/>
        <w:sz w:val="24"/>
        <w:szCs w:val="24"/>
        <w:lang w:val="x-none" w:eastAsia="x-none"/>
      </w:rPr>
      <w:t xml:space="preserve"> тесты и билеты онлайн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378" w:rsidRDefault="00703378" w:rsidP="008F3F40">
      <w:pPr>
        <w:spacing w:after="0" w:line="240" w:lineRule="auto"/>
      </w:pPr>
      <w:r>
        <w:separator/>
      </w:r>
    </w:p>
  </w:footnote>
  <w:footnote w:type="continuationSeparator" w:id="0">
    <w:p w:rsidR="00703378" w:rsidRDefault="00703378" w:rsidP="008F3F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EB"/>
    <w:rsid w:val="003C0CFF"/>
    <w:rsid w:val="003E11B8"/>
    <w:rsid w:val="004F5E63"/>
    <w:rsid w:val="00703378"/>
    <w:rsid w:val="008F3F40"/>
    <w:rsid w:val="00960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57765-6A5E-4570-B40D-A52FD1C4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C0C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0C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0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CF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0C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0CF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C0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8F3F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3F40"/>
  </w:style>
  <w:style w:type="paragraph" w:styleId="a6">
    <w:name w:val="footer"/>
    <w:basedOn w:val="a"/>
    <w:link w:val="a7"/>
    <w:uiPriority w:val="99"/>
    <w:unhideWhenUsed/>
    <w:rsid w:val="008F3F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3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846914">
      <w:bodyDiv w:val="1"/>
      <w:marLeft w:val="0"/>
      <w:marRight w:val="0"/>
      <w:marTop w:val="0"/>
      <w:marBottom w:val="0"/>
      <w:divBdr>
        <w:top w:val="none" w:sz="0" w:space="0" w:color="auto"/>
        <w:left w:val="none" w:sz="0" w:space="0" w:color="auto"/>
        <w:bottom w:val="none" w:sz="0" w:space="0" w:color="auto"/>
        <w:right w:val="none" w:sz="0" w:space="0" w:color="auto"/>
      </w:divBdr>
    </w:div>
    <w:div w:id="19547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13" Type="http://schemas.openxmlformats.org/officeDocument/2006/relationships/image" Target="media/image8.png"/><Relationship Id="rId109" Type="http://schemas.openxmlformats.org/officeDocument/2006/relationships/image" Target="media/image104.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fontTable" Target="fontTable.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theme" Target="theme/theme1.xml"/><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18" Type="http://schemas.openxmlformats.org/officeDocument/2006/relationships/image" Target="media/image13.png"/><Relationship Id="rId39" Type="http://schemas.openxmlformats.org/officeDocument/2006/relationships/image" Target="media/image34.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image" Target="media/image24.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33874</Words>
  <Characters>193082</Characters>
  <Application>Microsoft Office Word</Application>
  <DocSecurity>0</DocSecurity>
  <Lines>1609</Lines>
  <Paragraphs>453</Paragraphs>
  <ScaleCrop>false</ScaleCrop>
  <Company/>
  <LinksUpToDate>false</LinksUpToDate>
  <CharactersWithSpaces>226503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2021-09-20T14:55:00Z</dcterms:created>
  <dcterms:modified xsi:type="dcterms:W3CDTF">2021-11-09T10:19:00Z</dcterms:modified>
</cp:coreProperties>
</file>